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734" w:rsidRDefault="00957734" w:rsidP="00957734">
      <w:pPr>
        <w:pStyle w:val="Title"/>
        <w:ind w:right="2880"/>
        <w:jc w:val="left"/>
        <w:rPr>
          <w:rFonts w:ascii="Arial Narrow" w:eastAsia="Arial Narrow" w:hAnsi="Arial Narrow" w:cs="Arial Narrow"/>
        </w:rPr>
      </w:pPr>
      <w:r>
        <w:rPr>
          <w:noProof/>
          <w:lang w:eastAsia="en-PH"/>
        </w:rPr>
        <w:drawing>
          <wp:anchor distT="0" distB="0" distL="0" distR="0" simplePos="0" relativeHeight="251659264" behindDoc="1" locked="0" layoutInCell="1" hidden="0" allowOverlap="1" wp14:anchorId="7E59C931" wp14:editId="5588670B">
            <wp:simplePos x="0" y="0"/>
            <wp:positionH relativeFrom="column">
              <wp:posOffset>4848226</wp:posOffset>
            </wp:positionH>
            <wp:positionV relativeFrom="paragraph">
              <wp:posOffset>-314324</wp:posOffset>
            </wp:positionV>
            <wp:extent cx="1409700" cy="1543050"/>
            <wp:effectExtent l="38100" t="38100" r="38100" b="38100"/>
            <wp:wrapNone/>
            <wp:docPr id="1" name="image1.png" descr="C:\Users\Billones_Admin\Desktop\AirBrush_202003121043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Billones_Admin\Desktop\AirBrush_20200312104334.jpg"/>
                    <pic:cNvPicPr preferRelativeResize="0"/>
                  </pic:nvPicPr>
                  <pic:blipFill>
                    <a:blip r:embed="rId7"/>
                    <a:srcRect l="6376" t="3847" r="8755" b="12453"/>
                    <a:stretch>
                      <a:fillRect/>
                    </a:stretch>
                  </pic:blipFill>
                  <pic:spPr>
                    <a:xfrm>
                      <a:off x="0" y="0"/>
                      <a:ext cx="1410011" cy="154339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</w:rPr>
        <w:t>JARAIA SACCHARISSA M. BILLONES-CATIBOG,</w:t>
      </w:r>
      <w:r w:rsidRPr="00657A6E">
        <w:rPr>
          <w:rFonts w:ascii="Arial Narrow" w:eastAsia="Arial Narrow" w:hAnsi="Arial Narrow" w:cs="Arial Narrow"/>
          <w:sz w:val="24"/>
        </w:rPr>
        <w:t xml:space="preserve"> RMT, DTA</w:t>
      </w:r>
    </w:p>
    <w:p w:rsidR="00957734" w:rsidRPr="007C21A9" w:rsidRDefault="00957734" w:rsidP="00957734">
      <w:pPr>
        <w:pStyle w:val="Title"/>
        <w:ind w:right="2880"/>
        <w:jc w:val="left"/>
        <w:rPr>
          <w:rFonts w:ascii="Times New Roman" w:hAnsi="Times New Roman" w:cs="Times New Roman"/>
          <w:sz w:val="22"/>
          <w:szCs w:val="22"/>
        </w:rPr>
      </w:pPr>
      <w:r w:rsidRPr="007C21A9">
        <w:rPr>
          <w:rFonts w:ascii="Times New Roman" w:hAnsi="Times New Roman" w:cs="Times New Roman"/>
          <w:sz w:val="22"/>
          <w:szCs w:val="22"/>
        </w:rPr>
        <w:t>PRC LICENSE NO.: 0088542</w:t>
      </w:r>
    </w:p>
    <w:p w:rsidR="00957734" w:rsidRPr="007C21A9" w:rsidRDefault="00957734" w:rsidP="009577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DTA Cert. No. </w:t>
      </w:r>
      <w:r w:rsidRPr="007C21A9">
        <w:rPr>
          <w:rFonts w:ascii="Times New Roman" w:hAnsi="Times New Roman" w:cs="Times New Roman"/>
          <w:b/>
        </w:rPr>
        <w:t>APSDTL-22-17121</w:t>
      </w:r>
    </w:p>
    <w:p w:rsidR="00957734" w:rsidRDefault="00317924" w:rsidP="00957734">
      <w:pPr>
        <w:pStyle w:val="NoSpacing"/>
      </w:pPr>
      <w:bookmarkStart w:id="0" w:name="_gjdgxs" w:colFirst="0" w:colLast="0"/>
      <w:bookmarkEnd w:id="0"/>
      <w:r>
        <w:t xml:space="preserve">01 </w:t>
      </w:r>
      <w:proofErr w:type="spellStart"/>
      <w:r>
        <w:t>Jalan</w:t>
      </w:r>
      <w:proofErr w:type="spellEnd"/>
      <w:r>
        <w:t xml:space="preserve"> Mata Ayer, #01-01 Euphony Gardens, SG 759075</w:t>
      </w:r>
    </w:p>
    <w:p w:rsidR="00957734" w:rsidRPr="004E2373" w:rsidRDefault="00957734" w:rsidP="00957734">
      <w:pPr>
        <w:pStyle w:val="NoSpacing"/>
        <w:rPr>
          <w:rFonts w:hAnsi="Times New Roman"/>
        </w:rPr>
      </w:pPr>
      <w:r>
        <w:rPr>
          <w:rFonts w:hAnsi="Times New Roman"/>
        </w:rPr>
        <w:t xml:space="preserve">Mailing address: 932 Pasig Bliss, </w:t>
      </w:r>
      <w:proofErr w:type="spellStart"/>
      <w:r>
        <w:rPr>
          <w:rFonts w:hAnsi="Times New Roman"/>
        </w:rPr>
        <w:t>Caniogan</w:t>
      </w:r>
      <w:proofErr w:type="spellEnd"/>
      <w:r>
        <w:rPr>
          <w:rFonts w:hAnsi="Times New Roman"/>
        </w:rPr>
        <w:t>, Pasig City</w:t>
      </w:r>
      <w:r w:rsidR="00317924">
        <w:rPr>
          <w:rFonts w:hAnsi="Times New Roman"/>
        </w:rPr>
        <w:t>, Philippines</w:t>
      </w:r>
    </w:p>
    <w:p w:rsidR="00957734" w:rsidRDefault="00957734" w:rsidP="00957734">
      <w:pPr>
        <w:pStyle w:val="NoSpacing"/>
      </w:pPr>
      <w:r>
        <w:t>+639763119265</w:t>
      </w:r>
    </w:p>
    <w:p w:rsidR="00957734" w:rsidRDefault="00000000" w:rsidP="00957734">
      <w:pPr>
        <w:ind w:right="2880"/>
      </w:pPr>
      <w:hyperlink r:id="rId8">
        <w:r w:rsidR="00957734">
          <w:rPr>
            <w:color w:val="0000FF"/>
            <w:u w:val="single"/>
          </w:rPr>
          <w:t>jaraiabillones@yahoo.com</w:t>
        </w:r>
      </w:hyperlink>
    </w:p>
    <w:p w:rsidR="00957734" w:rsidRDefault="00957734" w:rsidP="00957734">
      <w:pPr>
        <w:pBdr>
          <w:bottom w:val="single" w:sz="12" w:space="0" w:color="000000"/>
        </w:pBdr>
        <w:rPr>
          <w:b/>
          <w:u w:val="single"/>
        </w:rPr>
      </w:pPr>
    </w:p>
    <w:p w:rsidR="00957734" w:rsidRPr="00957734" w:rsidRDefault="00957734" w:rsidP="00957734">
      <w:pPr>
        <w:rPr>
          <w:b/>
          <w:color w:val="C45911" w:themeColor="accent2" w:themeShade="BF"/>
          <w:sz w:val="36"/>
        </w:rPr>
      </w:pPr>
      <w:r w:rsidRPr="00957734">
        <w:rPr>
          <w:b/>
          <w:color w:val="C45911" w:themeColor="accent2" w:themeShade="BF"/>
          <w:sz w:val="36"/>
        </w:rPr>
        <w:t>Objectives</w:t>
      </w:r>
      <w:r w:rsidRPr="00957734">
        <w:rPr>
          <w:rFonts w:ascii="Times New Roman" w:eastAsia="Times New Roman" w:hAnsi="Times New Roman" w:cs="Times New Roman"/>
          <w:color w:val="C45911" w:themeColor="accent2" w:themeShade="BF"/>
          <w:sz w:val="10"/>
          <w:szCs w:val="2"/>
          <w:highlight w:val="black"/>
        </w:rPr>
        <w:t xml:space="preserve"> </w:t>
      </w:r>
    </w:p>
    <w:p w:rsidR="00957734" w:rsidRPr="00957734" w:rsidRDefault="00957734" w:rsidP="00957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Aspires to be employed in a workplace where I can practice the skills acquired and the knowledge learned in school and in my previous work.</w:t>
      </w:r>
    </w:p>
    <w:p w:rsidR="00957734" w:rsidRPr="00957734" w:rsidRDefault="00957734" w:rsidP="00957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Hopes to enhance my communication and interpersonal skills by being exposed to various work environments and thereby hone my abilities as a professional Medical Technologist.</w:t>
      </w:r>
    </w:p>
    <w:p w:rsidR="00957734" w:rsidRPr="00957734" w:rsidRDefault="00957734" w:rsidP="00957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Looks forward to advancing my technical abilities through seminars, trainings and workshops.</w:t>
      </w:r>
    </w:p>
    <w:p w:rsidR="00957734" w:rsidRDefault="00957734" w:rsidP="00957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Desires to pursue my personal mission as a Catholic by establishing good social relations with other people in and out of work.</w:t>
      </w:r>
    </w:p>
    <w:p w:rsidR="00957734" w:rsidRDefault="00957734" w:rsidP="00957734">
      <w:pPr>
        <w:jc w:val="both"/>
        <w:rPr>
          <w:sz w:val="18"/>
          <w:szCs w:val="18"/>
        </w:rPr>
      </w:pPr>
    </w:p>
    <w:p w:rsidR="00957734" w:rsidRPr="00957734" w:rsidRDefault="00957734" w:rsidP="00957734">
      <w:pPr>
        <w:rPr>
          <w:b/>
          <w:color w:val="C45911" w:themeColor="accent2" w:themeShade="BF"/>
          <w:sz w:val="36"/>
        </w:rPr>
      </w:pPr>
      <w:r w:rsidRPr="00957734">
        <w:rPr>
          <w:b/>
          <w:color w:val="C45911" w:themeColor="accent2" w:themeShade="BF"/>
          <w:sz w:val="36"/>
        </w:rPr>
        <w:t>Personal Data</w:t>
      </w:r>
    </w:p>
    <w:p w:rsidR="00957734" w:rsidRDefault="00957734" w:rsidP="00957734">
      <w:pPr>
        <w:pStyle w:val="NoSpacing"/>
      </w:pPr>
      <w:r w:rsidRPr="00065D32">
        <w:rPr>
          <w:b/>
        </w:rPr>
        <w:t>Birthday</w:t>
      </w:r>
      <w:r>
        <w:tab/>
      </w:r>
      <w:r>
        <w:tab/>
        <w:t>:</w:t>
      </w:r>
      <w:r>
        <w:tab/>
        <w:t>October 10, 1995</w:t>
      </w:r>
    </w:p>
    <w:p w:rsidR="00957734" w:rsidRDefault="00957734" w:rsidP="00957734">
      <w:pPr>
        <w:pStyle w:val="NoSpacing"/>
      </w:pPr>
      <w:r w:rsidRPr="00065D32">
        <w:rPr>
          <w:b/>
        </w:rPr>
        <w:t>Age</w:t>
      </w:r>
      <w:r>
        <w:tab/>
      </w:r>
      <w:r>
        <w:tab/>
      </w:r>
      <w:r>
        <w:tab/>
        <w:t>:</w:t>
      </w:r>
      <w:r>
        <w:tab/>
        <w:t>2</w:t>
      </w:r>
      <w:r w:rsidR="004275C2">
        <w:t>8</w:t>
      </w:r>
    </w:p>
    <w:p w:rsidR="00957734" w:rsidRDefault="00957734" w:rsidP="00957734">
      <w:pPr>
        <w:pStyle w:val="NoSpacing"/>
      </w:pPr>
      <w:r w:rsidRPr="00065D32">
        <w:rPr>
          <w:b/>
        </w:rPr>
        <w:t>SSS number</w:t>
      </w:r>
      <w:r>
        <w:tab/>
      </w:r>
      <w:r>
        <w:tab/>
        <w:t>:</w:t>
      </w:r>
      <w:r>
        <w:tab/>
        <w:t>34-5817017-8</w:t>
      </w:r>
    </w:p>
    <w:p w:rsidR="00957734" w:rsidRDefault="00957734" w:rsidP="00957734">
      <w:pPr>
        <w:pStyle w:val="NoSpacing"/>
      </w:pPr>
      <w:proofErr w:type="spellStart"/>
      <w:r w:rsidRPr="00065D32">
        <w:rPr>
          <w:b/>
        </w:rPr>
        <w:t>Philhealth</w:t>
      </w:r>
      <w:proofErr w:type="spellEnd"/>
      <w:r w:rsidRPr="00065D32">
        <w:rPr>
          <w:b/>
        </w:rPr>
        <w:t xml:space="preserve"> number</w:t>
      </w:r>
      <w:r>
        <w:t xml:space="preserve">      </w:t>
      </w:r>
      <w:r>
        <w:tab/>
        <w:t>:</w:t>
      </w:r>
      <w:r>
        <w:tab/>
        <w:t>02-051221307-4</w:t>
      </w:r>
    </w:p>
    <w:p w:rsidR="00957734" w:rsidRPr="00957734" w:rsidRDefault="00957734" w:rsidP="00957734">
      <w:pPr>
        <w:pStyle w:val="NoSpacing"/>
        <w:rPr>
          <w:rFonts w:asciiTheme="minorHAnsi" w:eastAsiaTheme="minorHAnsi" w:hAnsiTheme="minorHAnsi" w:cstheme="minorBidi"/>
        </w:rPr>
      </w:pPr>
      <w:r w:rsidRPr="00065D32">
        <w:rPr>
          <w:b/>
        </w:rPr>
        <w:t>Tin number</w:t>
      </w:r>
      <w:r>
        <w:t xml:space="preserve">                </w:t>
      </w:r>
      <w:r>
        <w:tab/>
        <w:t xml:space="preserve">: </w:t>
      </w:r>
      <w:r>
        <w:tab/>
        <w:t>353-517-528</w:t>
      </w:r>
    </w:p>
    <w:p w:rsidR="00957734" w:rsidRPr="00EB7E5B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>Core Qualification</w:t>
      </w:r>
    </w:p>
    <w:p w:rsidR="00957734" w:rsidRPr="00E55CCF" w:rsidRDefault="00957734" w:rsidP="00957734">
      <w:pPr>
        <w:pStyle w:val="NoSpacing"/>
        <w:rPr>
          <w:i/>
          <w:iCs/>
          <w:color w:val="7F7F7F" w:themeColor="text1" w:themeTint="80"/>
          <w:sz w:val="18"/>
          <w:szCs w:val="18"/>
        </w:rPr>
      </w:pPr>
      <w:r w:rsidRPr="007A7127">
        <w:rPr>
          <w:i/>
          <w:iCs/>
          <w:color w:val="7F7F7F" w:themeColor="text1" w:themeTint="80"/>
          <w:sz w:val="18"/>
          <w:szCs w:val="18"/>
        </w:rPr>
        <w:t>Generalist</w:t>
      </w:r>
      <w:r>
        <w:rPr>
          <w:i/>
          <w:iCs/>
          <w:color w:val="7F7F7F" w:themeColor="text1" w:themeTint="80"/>
          <w:sz w:val="18"/>
          <w:szCs w:val="18"/>
        </w:rPr>
        <w:t xml:space="preserve"> </w:t>
      </w:r>
      <w:r w:rsidRPr="007A7127">
        <w:rPr>
          <w:i/>
          <w:iCs/>
          <w:color w:val="7F7F7F" w:themeColor="text1" w:themeTint="80"/>
          <w:sz w:val="18"/>
          <w:szCs w:val="18"/>
        </w:rPr>
        <w:t xml:space="preserve">with more than 4 years of experience in </w:t>
      </w:r>
      <w:r>
        <w:rPr>
          <w:i/>
          <w:iCs/>
          <w:color w:val="7F7F7F" w:themeColor="text1" w:themeTint="80"/>
          <w:sz w:val="18"/>
          <w:szCs w:val="18"/>
        </w:rPr>
        <w:t>free standing secondary laboratories</w:t>
      </w:r>
      <w:r w:rsidRPr="007A7127">
        <w:rPr>
          <w:i/>
          <w:iCs/>
          <w:color w:val="7F7F7F" w:themeColor="text1" w:themeTint="80"/>
          <w:sz w:val="18"/>
          <w:szCs w:val="18"/>
        </w:rPr>
        <w:t xml:space="preserve"> with high through put. </w:t>
      </w:r>
      <w:r>
        <w:rPr>
          <w:i/>
          <w:iCs/>
          <w:color w:val="7F7F7F" w:themeColor="text1" w:themeTint="80"/>
          <w:sz w:val="18"/>
          <w:szCs w:val="18"/>
        </w:rPr>
        <w:t>Task- oriented, critical thinker, works independently under minimal supervision, and do well as part of a team and has a</w:t>
      </w:r>
      <w:r w:rsidRPr="00E55CCF">
        <w:rPr>
          <w:i/>
          <w:color w:val="7F7F7F" w:themeColor="text1" w:themeTint="80"/>
          <w:sz w:val="18"/>
          <w:szCs w:val="18"/>
        </w:rPr>
        <w:t>dequate</w:t>
      </w:r>
      <w:r w:rsidRPr="00E55CCF">
        <w:rPr>
          <w:i/>
          <w:sz w:val="18"/>
          <w:szCs w:val="18"/>
        </w:rPr>
        <w:t xml:space="preserve"> </w:t>
      </w:r>
      <w:r w:rsidRPr="00E55CCF">
        <w:rPr>
          <w:i/>
          <w:color w:val="7F7F7F" w:themeColor="text1" w:themeTint="80"/>
          <w:sz w:val="18"/>
          <w:szCs w:val="18"/>
        </w:rPr>
        <w:t xml:space="preserve">leadership skills and </w:t>
      </w:r>
      <w:r>
        <w:rPr>
          <w:i/>
          <w:color w:val="7F7F7F" w:themeColor="text1" w:themeTint="80"/>
          <w:sz w:val="18"/>
          <w:szCs w:val="18"/>
        </w:rPr>
        <w:t xml:space="preserve">a </w:t>
      </w:r>
      <w:r w:rsidRPr="00E55CCF">
        <w:rPr>
          <w:i/>
          <w:color w:val="7F7F7F" w:themeColor="text1" w:themeTint="80"/>
          <w:sz w:val="18"/>
          <w:szCs w:val="18"/>
        </w:rPr>
        <w:t>notable team player attitude</w:t>
      </w:r>
      <w:r>
        <w:rPr>
          <w:i/>
          <w:color w:val="7F7F7F" w:themeColor="text1" w:themeTint="80"/>
          <w:sz w:val="18"/>
          <w:szCs w:val="18"/>
        </w:rPr>
        <w:t xml:space="preserve">. </w:t>
      </w:r>
      <w:r w:rsidRPr="00E55CCF">
        <w:rPr>
          <w:i/>
          <w:color w:val="7F7F7F" w:themeColor="text1" w:themeTint="80"/>
          <w:sz w:val="18"/>
          <w:szCs w:val="18"/>
        </w:rPr>
        <w:t>Knowledgeable in computer applications such as Microsoft Word, Microsoft PowerPoint and Microsoft Excel.</w:t>
      </w:r>
      <w:r>
        <w:rPr>
          <w:i/>
          <w:color w:val="7F7F7F" w:themeColor="text1" w:themeTint="80"/>
          <w:sz w:val="18"/>
          <w:szCs w:val="18"/>
        </w:rPr>
        <w:t xml:space="preserve"> </w:t>
      </w:r>
      <w:r w:rsidRPr="00E55CCF">
        <w:rPr>
          <w:i/>
          <w:color w:val="7F7F7F" w:themeColor="text1" w:themeTint="80"/>
          <w:sz w:val="18"/>
          <w:szCs w:val="18"/>
        </w:rPr>
        <w:t>Fluent in speaking the English language and familiar with other language such as the Korean language.</w:t>
      </w:r>
      <w:r>
        <w:rPr>
          <w:i/>
          <w:color w:val="7F7F7F" w:themeColor="text1" w:themeTint="80"/>
          <w:sz w:val="18"/>
          <w:szCs w:val="18"/>
        </w:rPr>
        <w:t xml:space="preserve"> </w:t>
      </w:r>
      <w:r w:rsidRPr="00E55CCF">
        <w:rPr>
          <w:i/>
          <w:color w:val="7F7F7F" w:themeColor="text1" w:themeTint="80"/>
          <w:sz w:val="18"/>
          <w:szCs w:val="18"/>
        </w:rPr>
        <w:t>Efficient in multitasking, trou</w:t>
      </w:r>
      <w:r>
        <w:rPr>
          <w:i/>
          <w:color w:val="7F7F7F" w:themeColor="text1" w:themeTint="80"/>
          <w:sz w:val="18"/>
          <w:szCs w:val="18"/>
        </w:rPr>
        <w:t>bleshooting and decision making and e</w:t>
      </w:r>
      <w:r w:rsidRPr="00E55CCF">
        <w:rPr>
          <w:i/>
          <w:color w:val="7F7F7F" w:themeColor="text1" w:themeTint="80"/>
          <w:sz w:val="18"/>
          <w:szCs w:val="18"/>
        </w:rPr>
        <w:t>xhibits effective time management skills and planning.</w:t>
      </w:r>
      <w:r>
        <w:rPr>
          <w:i/>
          <w:color w:val="7F7F7F" w:themeColor="text1" w:themeTint="80"/>
          <w:sz w:val="18"/>
          <w:szCs w:val="18"/>
        </w:rPr>
        <w:t xml:space="preserve"> </w:t>
      </w:r>
      <w:r w:rsidRPr="00E55CCF">
        <w:rPr>
          <w:i/>
          <w:color w:val="7F7F7F" w:themeColor="text1" w:themeTint="80"/>
          <w:sz w:val="18"/>
          <w:szCs w:val="18"/>
        </w:rPr>
        <w:t>Fast learner and is eager to be trained and skilled.</w:t>
      </w:r>
    </w:p>
    <w:p w:rsidR="00957734" w:rsidRPr="00E55CCF" w:rsidRDefault="00957734" w:rsidP="00957734">
      <w:pPr>
        <w:pStyle w:val="NoSpacing"/>
        <w:rPr>
          <w:i/>
          <w:iCs/>
          <w:color w:val="7F7F7F" w:themeColor="text1" w:themeTint="80"/>
          <w:sz w:val="18"/>
          <w:szCs w:val="18"/>
        </w:rPr>
      </w:pPr>
    </w:p>
    <w:p w:rsidR="00957734" w:rsidRPr="009907B2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>Certifications</w:t>
      </w:r>
    </w:p>
    <w:p w:rsidR="00957734" w:rsidRPr="009907B2" w:rsidRDefault="00957734" w:rsidP="00957734">
      <w:pPr>
        <w:pStyle w:val="NoSpacing"/>
        <w:spacing w:line="360" w:lineRule="auto"/>
        <w:rPr>
          <w:rFonts w:ascii="Arial" w:hAnsi="Arial" w:cs="Arial"/>
          <w:i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Department of Health</w:t>
      </w:r>
      <w:r w:rsidRPr="009907B2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r w:rsidRPr="009907B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>Drug Testing Analyst</w:t>
      </w:r>
      <w:r w:rsidRPr="009907B2"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 (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>DTA</w:t>
      </w:r>
      <w:r w:rsidRPr="009907B2">
        <w:rPr>
          <w:rFonts w:ascii="Arial" w:hAnsi="Arial" w:cs="Arial"/>
          <w:i/>
          <w:color w:val="595959" w:themeColor="text1" w:themeTint="A6"/>
          <w:sz w:val="18"/>
          <w:szCs w:val="18"/>
        </w:rPr>
        <w:t>)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 </w:t>
      </w:r>
      <w:r w:rsidRPr="009907B2"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-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July 2022</w:t>
      </w:r>
    </w:p>
    <w:p w:rsidR="00957734" w:rsidRDefault="00957734" w:rsidP="00957734">
      <w:pPr>
        <w:pStyle w:val="NoSpacing"/>
        <w:spacing w:line="36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9907B2">
        <w:rPr>
          <w:rFonts w:ascii="Arial" w:hAnsi="Arial" w:cs="Arial"/>
          <w:b/>
          <w:color w:val="000000" w:themeColor="text1"/>
          <w:sz w:val="18"/>
          <w:szCs w:val="18"/>
        </w:rPr>
        <w:t>Professional Regulatory Commission</w:t>
      </w:r>
      <w:r w:rsidRPr="009907B2">
        <w:rPr>
          <w:rFonts w:ascii="Arial" w:hAnsi="Arial" w:cs="Arial"/>
          <w:i/>
          <w:sz w:val="18"/>
          <w:szCs w:val="18"/>
        </w:rPr>
        <w:t xml:space="preserve">: </w:t>
      </w:r>
      <w:r w:rsidRPr="009907B2">
        <w:rPr>
          <w:rFonts w:ascii="Arial" w:hAnsi="Arial" w:cs="Arial"/>
          <w:i/>
          <w:color w:val="595959" w:themeColor="text1" w:themeTint="A6"/>
          <w:sz w:val="18"/>
          <w:szCs w:val="18"/>
        </w:rPr>
        <w:t>Registered Medical Technologist (RMT)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 </w:t>
      </w:r>
      <w:r w:rsidRPr="009907B2"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-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September 2018</w:t>
      </w:r>
      <w:r w:rsidRPr="009907B2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</w:p>
    <w:p w:rsidR="00065D32" w:rsidRDefault="00065D32" w:rsidP="00957734">
      <w:pPr>
        <w:pStyle w:val="NoSpacing"/>
        <w:spacing w:line="36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065D32" w:rsidRPr="00065D32" w:rsidRDefault="00065D32" w:rsidP="00065D32">
      <w:pPr>
        <w:rPr>
          <w:rFonts w:ascii="Arial" w:hAnsi="Arial" w:cs="Arial"/>
          <w:b/>
          <w:color w:val="C45911" w:themeColor="accent2" w:themeShade="BF"/>
          <w:sz w:val="28"/>
        </w:rPr>
      </w:pPr>
      <w:r w:rsidRPr="00065D32">
        <w:rPr>
          <w:rFonts w:ascii="Arial" w:hAnsi="Arial" w:cs="Arial"/>
          <w:b/>
          <w:color w:val="C45911" w:themeColor="accent2" w:themeShade="BF"/>
          <w:sz w:val="28"/>
        </w:rPr>
        <w:t>Achievements</w:t>
      </w:r>
    </w:p>
    <w:p w:rsidR="00065D32" w:rsidRDefault="00065D32" w:rsidP="00065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Dean’s Lister SY 2013-2014</w:t>
      </w:r>
    </w:p>
    <w:p w:rsidR="00065D32" w:rsidRDefault="00065D32" w:rsidP="00065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Leadership Awardee (</w:t>
      </w:r>
      <w:r w:rsidRPr="00065D32">
        <w:rPr>
          <w:color w:val="000000"/>
          <w:sz w:val="20"/>
        </w:rPr>
        <w:t>Veterans Memorial Medical Center</w:t>
      </w:r>
      <w:r>
        <w:rPr>
          <w:color w:val="000000"/>
        </w:rPr>
        <w:t>-</w:t>
      </w:r>
      <w:r w:rsidRPr="00065D32">
        <w:rPr>
          <w:color w:val="000000"/>
          <w:sz w:val="20"/>
        </w:rPr>
        <w:t>Medical Technology Intern Organization 2017</w:t>
      </w:r>
      <w:r>
        <w:rPr>
          <w:color w:val="000000"/>
        </w:rPr>
        <w:t>)</w:t>
      </w:r>
    </w:p>
    <w:p w:rsidR="00065D32" w:rsidRDefault="00065D32" w:rsidP="00065D32">
      <w:pPr>
        <w:rPr>
          <w:b/>
          <w:u w:val="single"/>
        </w:rPr>
      </w:pPr>
    </w:p>
    <w:p w:rsidR="00065D32" w:rsidRPr="00065D32" w:rsidRDefault="00065D32" w:rsidP="00065D32">
      <w:pPr>
        <w:rPr>
          <w:rFonts w:ascii="Arial" w:hAnsi="Arial" w:cs="Arial"/>
          <w:b/>
          <w:color w:val="C45911" w:themeColor="accent2" w:themeShade="BF"/>
          <w:sz w:val="28"/>
        </w:rPr>
      </w:pPr>
      <w:r w:rsidRPr="00065D32">
        <w:rPr>
          <w:rFonts w:ascii="Arial" w:hAnsi="Arial" w:cs="Arial"/>
          <w:b/>
          <w:color w:val="C45911" w:themeColor="accent2" w:themeShade="BF"/>
          <w:sz w:val="28"/>
        </w:rPr>
        <w:t>Organizations and Affiliations</w:t>
      </w:r>
    </w:p>
    <w:p w:rsidR="00065D32" w:rsidRDefault="00065D32" w:rsidP="00065D32">
      <w:pPr>
        <w:pStyle w:val="NoSpacing"/>
      </w:pPr>
      <w:r>
        <w:t>Member</w:t>
      </w:r>
      <w:r>
        <w:tab/>
        <w:t xml:space="preserve">Philippine Society of Medical Laboratory Scientists     </w:t>
      </w:r>
      <w:r>
        <w:tab/>
        <w:t>2019 - Present</w:t>
      </w:r>
    </w:p>
    <w:p w:rsidR="00065D32" w:rsidRDefault="00065D32" w:rsidP="00065D32">
      <w:pPr>
        <w:pStyle w:val="NoSpacing"/>
      </w:pPr>
    </w:p>
    <w:p w:rsidR="00065D32" w:rsidRDefault="00065D32" w:rsidP="00065D32">
      <w:pPr>
        <w:pStyle w:val="NoSpacing"/>
      </w:pPr>
      <w:r>
        <w:t>Member</w:t>
      </w:r>
      <w:r>
        <w:tab/>
        <w:t xml:space="preserve">Philippine Association of Medical Technologists     </w:t>
      </w:r>
      <w:r>
        <w:tab/>
        <w:t>2018-2019</w:t>
      </w:r>
    </w:p>
    <w:p w:rsidR="00065D32" w:rsidRDefault="00065D32" w:rsidP="00065D32">
      <w:pPr>
        <w:pStyle w:val="NoSpacing"/>
      </w:pPr>
    </w:p>
    <w:p w:rsidR="00065D32" w:rsidRDefault="00065D32" w:rsidP="00065D32">
      <w:pPr>
        <w:pStyle w:val="NoSpacing"/>
      </w:pPr>
      <w:r>
        <w:t>Member</w:t>
      </w:r>
      <w:r>
        <w:tab/>
        <w:t xml:space="preserve">Philippine Society of Medical Technology Students     </w:t>
      </w:r>
      <w:r>
        <w:tab/>
        <w:t>2012-2017</w:t>
      </w:r>
      <w:r>
        <w:tab/>
      </w:r>
      <w:r>
        <w:tab/>
      </w:r>
      <w:r>
        <w:tab/>
      </w:r>
    </w:p>
    <w:p w:rsidR="00065D32" w:rsidRDefault="00065D32" w:rsidP="00065D32">
      <w:pPr>
        <w:pStyle w:val="NoSpacing"/>
      </w:pPr>
    </w:p>
    <w:p w:rsidR="00065D32" w:rsidRDefault="00065D32" w:rsidP="00065D32">
      <w:pPr>
        <w:pStyle w:val="NoSpacing"/>
      </w:pPr>
      <w:r>
        <w:t>Asst. Treasurer</w:t>
      </w:r>
      <w:r>
        <w:tab/>
        <w:t>Medical Technology Interns’ Organization (Veterans Memorial Medical Center) 2017</w:t>
      </w:r>
    </w:p>
    <w:p w:rsidR="00065D32" w:rsidRPr="009907B2" w:rsidRDefault="00065D32" w:rsidP="00957734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:rsidR="00957734" w:rsidRPr="00EB7E5B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r w:rsidRPr="00EB7E5B">
        <w:rPr>
          <w:rFonts w:ascii="Arial" w:eastAsia="Arial" w:hAnsi="Arial" w:cs="Arial"/>
          <w:color w:val="C45911" w:themeColor="accent2" w:themeShade="BF"/>
        </w:rPr>
        <w:t>Experience</w:t>
      </w: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1" w:name="_arnrh62rcfpt" w:colFirst="0" w:colLast="0"/>
      <w:bookmarkEnd w:id="1"/>
      <w:r>
        <w:rPr>
          <w:rFonts w:ascii="Arial" w:eastAsia="Arial" w:hAnsi="Arial" w:cs="Arial"/>
        </w:rPr>
        <w:t>AUGUST 2022- PRESENT</w:t>
      </w:r>
    </w:p>
    <w:p w:rsidR="00957734" w:rsidRDefault="00957734" w:rsidP="00957734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 w:val="0"/>
          <w:i/>
        </w:rPr>
      </w:pPr>
      <w:bookmarkStart w:id="2" w:name="_mofu6vopi18q" w:colFirst="0" w:colLast="0"/>
      <w:bookmarkEnd w:id="2"/>
      <w:r>
        <w:rPr>
          <w:rFonts w:ascii="Arial" w:eastAsia="Arial" w:hAnsi="Arial" w:cs="Arial"/>
        </w:rPr>
        <w:t>IMMACULATE CLINICAL DIAGNOSTICS LABORATORY, PHILIPPINES</w:t>
      </w:r>
    </w:p>
    <w:p w:rsidR="00957734" w:rsidRPr="00317924" w:rsidRDefault="00957734" w:rsidP="00957734">
      <w:pPr>
        <w:pStyle w:val="NoSpacing"/>
        <w:spacing w:line="360" w:lineRule="auto"/>
        <w:ind w:left="36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17924">
        <w:rPr>
          <w:rFonts w:ascii="Arial" w:hAnsi="Arial" w:cs="Arial"/>
          <w:i/>
          <w:iCs/>
          <w:color w:val="000000" w:themeColor="text1"/>
          <w:sz w:val="18"/>
          <w:szCs w:val="18"/>
        </w:rPr>
        <w:t>Department of Laboratory, General Medical Technologist/ Drug Testing Analyst</w:t>
      </w:r>
    </w:p>
    <w:p w:rsidR="00957734" w:rsidRPr="00317924" w:rsidRDefault="00957734" w:rsidP="00957734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Accept specimen suitable for analysis and provide documentation on rejected samples.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Perform assays according to standard laboratory procedures.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bookmarkStart w:id="3" w:name="_9hamueqzod31" w:colFirst="0" w:colLast="0"/>
      <w:bookmarkEnd w:id="3"/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reagent preparation and testing.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Conduct internal and external quality control.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Calibrate, troubleshoot, and identify equipment in need for external service.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Monitor supply inventory and anticipate needed supplies. </w:t>
      </w:r>
    </w:p>
    <w:p w:rsidR="00957734" w:rsidRPr="00317924" w:rsidRDefault="00957734" w:rsidP="00957734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7F7F7F" w:themeColor="text1" w:themeTint="80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Conform to the requirements of the Department of Health (DOH) in annual license renewal.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Comply, participate, and prepare the requirements needed in external proficiency testing programs.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Maintain record of test results and archives of data.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phlebotomy including capillary puncture and venipuncture.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Ensures operation of analyzers and other laboratory equipment by following manufacturer’s instructions, troubleshooting, and calling for repairs if needed.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clinical assays according to established operational procedures.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routine and specialized hematological and clinical chemistry examination on body fluids.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manual blood typing.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Perform routine serological tests.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>Maintain equipment by performing assigned maintenance activities and troubleshoot encountered malfunctions.</w:t>
      </w: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SEPTEMBER 2019 – DECEMBER 2022</w:t>
      </w:r>
    </w:p>
    <w:p w:rsidR="00957734" w:rsidRDefault="00957734" w:rsidP="00957734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lang w:val="en-PH"/>
        </w:rPr>
      </w:pPr>
      <w:bookmarkStart w:id="4" w:name="_2mwrupb75gpr" w:colFirst="0" w:colLast="0"/>
      <w:bookmarkEnd w:id="4"/>
      <w:r>
        <w:rPr>
          <w:rFonts w:ascii="Arial" w:eastAsia="Arial" w:hAnsi="Arial" w:cs="Arial"/>
          <w:lang w:val="en-PH"/>
        </w:rPr>
        <w:t>ARDI Health Services Inc. (</w:t>
      </w:r>
      <w:proofErr w:type="spellStart"/>
      <w:r>
        <w:rPr>
          <w:rFonts w:ascii="Arial" w:eastAsia="Arial" w:hAnsi="Arial" w:cs="Arial"/>
          <w:lang w:val="en-PH"/>
        </w:rPr>
        <w:t>Malinao</w:t>
      </w:r>
      <w:proofErr w:type="spellEnd"/>
      <w:r>
        <w:rPr>
          <w:rFonts w:ascii="Arial" w:eastAsia="Arial" w:hAnsi="Arial" w:cs="Arial"/>
          <w:lang w:val="en-PH"/>
        </w:rPr>
        <w:t xml:space="preserve"> and Mercedes Branch), PHILIPPINES</w:t>
      </w:r>
    </w:p>
    <w:p w:rsidR="00957734" w:rsidRPr="00317924" w:rsidRDefault="00957734" w:rsidP="00957734">
      <w:pPr>
        <w:pStyle w:val="NoSpacing"/>
        <w:spacing w:line="360" w:lineRule="auto"/>
        <w:ind w:left="36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17924">
        <w:rPr>
          <w:rFonts w:ascii="Arial" w:hAnsi="Arial" w:cs="Arial"/>
          <w:i/>
          <w:iCs/>
          <w:color w:val="000000" w:themeColor="text1"/>
          <w:sz w:val="18"/>
          <w:szCs w:val="18"/>
        </w:rPr>
        <w:t>Department of Pathology, General Medical Technologist</w:t>
      </w:r>
    </w:p>
    <w:p w:rsidR="00957734" w:rsidRPr="00317924" w:rsidRDefault="00957734" w:rsidP="00957734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Accept specimen suitable for analysis and provide documentation on rejected samples.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Perform assays according to standard laboratory procedures.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reagent preparation and testing.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Conduct internal and external quality control.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Calibrate, troubleshoot, and identify equipment in need for external service.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Monitor supply inventory and anticipate needed supplies. </w:t>
      </w:r>
    </w:p>
    <w:p w:rsidR="00957734" w:rsidRPr="00317924" w:rsidRDefault="00957734" w:rsidP="00957734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7F7F7F" w:themeColor="text1" w:themeTint="80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Conform to the requirements of the Department of Health (DOH) in annual license renewal.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Comply, participate, and prepare the requirements needed in external proficiency testing programs.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Maintain record of test results and archives of data.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phlebotomy including capillary puncture and venipuncture.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Ensures operation of analyzers and other laboratory equipment by following manufacturer’s instructions, troubleshooting, and calling for repairs if needed.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clinical assays according to established operational procedures.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routine and specialized hematological and clinical chemistry examination on body fluids.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manual blood typing.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Perform routine serological tests.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>Maintain equipment by performing assigned maintenance activities and troubleshoot encountered malfunctions.</w:t>
      </w: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DECEMBER 2018 – APRIL 2019</w:t>
      </w:r>
    </w:p>
    <w:p w:rsidR="00957734" w:rsidRDefault="00957734" w:rsidP="00957734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lang w:val="en-PH"/>
        </w:rPr>
      </w:pPr>
      <w:r>
        <w:rPr>
          <w:rFonts w:ascii="Arial" w:eastAsia="Arial" w:hAnsi="Arial" w:cs="Arial"/>
          <w:lang w:val="en-PH"/>
        </w:rPr>
        <w:t>Friendly Care Clinic Inc. (Shaw Blvd. Branch), PHILIPPINES</w:t>
      </w:r>
    </w:p>
    <w:p w:rsidR="00957734" w:rsidRPr="00317924" w:rsidRDefault="00957734" w:rsidP="00957734">
      <w:pPr>
        <w:pStyle w:val="NoSpacing"/>
        <w:spacing w:line="360" w:lineRule="auto"/>
        <w:ind w:left="36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17924">
        <w:rPr>
          <w:rFonts w:ascii="Arial" w:hAnsi="Arial" w:cs="Arial"/>
          <w:i/>
          <w:iCs/>
          <w:color w:val="000000" w:themeColor="text1"/>
          <w:sz w:val="18"/>
          <w:szCs w:val="18"/>
        </w:rPr>
        <w:t>Department of Pathology, Medical Technologist (Clinical Microscopy Section)</w:t>
      </w:r>
    </w:p>
    <w:p w:rsidR="00957734" w:rsidRPr="00317924" w:rsidRDefault="00957734" w:rsidP="00957734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Accept specimen suitable for analysis and provide documentation on rejected samples.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Perform assays according to standard laboratory procedures.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Conduct internal and external quality control.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Calibrate, troubleshoot, and identify equipment in need for external service. 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 xml:space="preserve">Monitor supply inventory and anticipate needed supplies. </w:t>
      </w:r>
    </w:p>
    <w:p w:rsidR="00957734" w:rsidRPr="00317924" w:rsidRDefault="00957734" w:rsidP="00957734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7F7F7F" w:themeColor="text1" w:themeTint="80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Conform to the requirements of the Department of Health (DOH) in annual license renewal.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Comply, participate, and prepare the requirements needed in external proficiency testing programs.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Maintain record of test results and archives of data.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Ensures operation of analyzers and other laboratory equipment by following manufacturer’s instructions, troubleshooting, and calling for repairs if needed. 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clinical assays according to established operational procedures.</w:t>
      </w:r>
    </w:p>
    <w:p w:rsidR="00957734" w:rsidRPr="00317924" w:rsidRDefault="00957734" w:rsidP="00957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0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eastAsia="Arial" w:hAnsi="Arial" w:cs="Arial"/>
          <w:color w:val="7F7F7F" w:themeColor="text1" w:themeTint="80"/>
          <w:sz w:val="18"/>
          <w:szCs w:val="18"/>
        </w:rPr>
        <w:t>Perform routine examination on body fluids.</w:t>
      </w:r>
    </w:p>
    <w:p w:rsidR="00957734" w:rsidRPr="00317924" w:rsidRDefault="00957734" w:rsidP="00957734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317924">
        <w:rPr>
          <w:rFonts w:ascii="Arial" w:hAnsi="Arial" w:cs="Arial"/>
          <w:color w:val="7F7F7F" w:themeColor="text1" w:themeTint="80"/>
          <w:sz w:val="18"/>
          <w:szCs w:val="18"/>
        </w:rPr>
        <w:t>Maintain equipment by performing assigned maintenance activities and troubleshoot encountered malfunctions.</w:t>
      </w: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2017 – OCTOBER 2017</w:t>
      </w:r>
    </w:p>
    <w:p w:rsidR="00957734" w:rsidRDefault="00957734" w:rsidP="00957734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lang w:val="en-PH"/>
        </w:rPr>
      </w:pPr>
      <w:r>
        <w:rPr>
          <w:rFonts w:ascii="Arial" w:eastAsia="Arial" w:hAnsi="Arial" w:cs="Arial"/>
          <w:lang w:val="en-PH"/>
        </w:rPr>
        <w:t>Veterans Memorial Medical Center, PHILIPPINES</w:t>
      </w:r>
    </w:p>
    <w:p w:rsidR="00957734" w:rsidRPr="00266DD0" w:rsidRDefault="00957734" w:rsidP="00957734">
      <w:pPr>
        <w:pStyle w:val="NoSpacing"/>
        <w:spacing w:line="360" w:lineRule="auto"/>
        <w:ind w:left="360"/>
        <w:rPr>
          <w:rFonts w:ascii="Arial" w:hAnsi="Arial" w:cs="Arial"/>
          <w:i/>
          <w:iCs/>
          <w:color w:val="7F7F7F" w:themeColor="text1" w:themeTint="80"/>
          <w:sz w:val="18"/>
          <w:szCs w:val="18"/>
        </w:rPr>
      </w:pPr>
      <w:r>
        <w:rPr>
          <w:rFonts w:ascii="Arial" w:hAnsi="Arial" w:cs="Arial"/>
          <w:i/>
          <w:iCs/>
          <w:color w:val="7F7F7F" w:themeColor="text1" w:themeTint="80"/>
          <w:sz w:val="18"/>
          <w:szCs w:val="18"/>
        </w:rPr>
        <w:t>Department of Pathology</w:t>
      </w:r>
      <w:r w:rsidRPr="00477F2E">
        <w:rPr>
          <w:rFonts w:ascii="Arial" w:hAnsi="Arial" w:cs="Arial"/>
          <w:i/>
          <w:iCs/>
          <w:color w:val="7F7F7F" w:themeColor="text1" w:themeTint="80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7F7F7F" w:themeColor="text1" w:themeTint="80"/>
          <w:sz w:val="18"/>
          <w:szCs w:val="18"/>
        </w:rPr>
        <w:t>Medical Technology Intern</w:t>
      </w:r>
    </w:p>
    <w:p w:rsidR="00957734" w:rsidRPr="00EB7E5B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bookmarkStart w:id="5" w:name="_6oztx7omgpqo" w:colFirst="0" w:colLast="0"/>
      <w:bookmarkEnd w:id="5"/>
      <w:r w:rsidRPr="00EB7E5B">
        <w:rPr>
          <w:rFonts w:ascii="Arial" w:eastAsia="Arial" w:hAnsi="Arial" w:cs="Arial"/>
          <w:color w:val="C45911" w:themeColor="accent2" w:themeShade="BF"/>
        </w:rPr>
        <w:t>Education</w:t>
      </w:r>
    </w:p>
    <w:p w:rsidR="00957734" w:rsidRDefault="00957734" w:rsidP="00957734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6" w:name="_v9j91n2fon3f" w:colFirst="0" w:colLast="0"/>
      <w:bookmarkEnd w:id="6"/>
      <w:r>
        <w:rPr>
          <w:rFonts w:ascii="Arial" w:eastAsia="Arial" w:hAnsi="Arial" w:cs="Arial"/>
        </w:rPr>
        <w:t>JUNE 2012 – SEPTEMBER 2018</w:t>
      </w:r>
    </w:p>
    <w:p w:rsidR="00957734" w:rsidRDefault="00957734" w:rsidP="00957734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 w:val="0"/>
          <w:i/>
        </w:rPr>
      </w:pPr>
      <w:bookmarkStart w:id="7" w:name="_78rlvk1sif5a" w:colFirst="0" w:colLast="0"/>
      <w:bookmarkEnd w:id="7"/>
      <w:r>
        <w:rPr>
          <w:rFonts w:ascii="Arial" w:eastAsia="Arial" w:hAnsi="Arial" w:cs="Arial"/>
        </w:rPr>
        <w:t xml:space="preserve">CENTRO ESCOLAR UNIVERSITY, PHILIPPINES </w:t>
      </w:r>
      <w:r>
        <w:rPr>
          <w:rFonts w:ascii="Arial" w:eastAsia="Arial" w:hAnsi="Arial" w:cs="Arial"/>
          <w:b w:val="0"/>
          <w:i/>
        </w:rPr>
        <w:t>– B.S. Medical Technology</w:t>
      </w:r>
    </w:p>
    <w:p w:rsidR="00957734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>Seminars/ Trainings</w:t>
      </w:r>
    </w:p>
    <w:p w:rsidR="00957734" w:rsidRPr="00B452B8" w:rsidRDefault="00957734" w:rsidP="00957734">
      <w:pPr>
        <w:pStyle w:val="NoSpacing"/>
        <w:spacing w:line="360" w:lineRule="auto"/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957734" w:rsidRPr="009B2339" w:rsidRDefault="00957734" w:rsidP="00957734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ANTIMICROBIAL RESISTANCE 101: A LABORATORY PERSPECTIVE</w:t>
      </w:r>
      <w:r w:rsidRPr="009B2339">
        <w:rPr>
          <w:b/>
          <w:color w:val="7F7F7F" w:themeColor="text1" w:themeTint="80"/>
          <w:sz w:val="22"/>
          <w:szCs w:val="22"/>
        </w:rPr>
        <w:t xml:space="preserve">     </w:t>
      </w:r>
      <w:r w:rsidRPr="000B682D">
        <w:rPr>
          <w:b/>
          <w:sz w:val="22"/>
          <w:u w:val="single"/>
        </w:rPr>
        <w:t>February 2023</w:t>
      </w:r>
    </w:p>
    <w:p w:rsidR="00957734" w:rsidRPr="009B2339" w:rsidRDefault="00957734" w:rsidP="00957734">
      <w:pPr>
        <w:pStyle w:val="ListParagraph"/>
        <w:numPr>
          <w:ilvl w:val="0"/>
          <w:numId w:val="3"/>
        </w:numPr>
        <w:rPr>
          <w:b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VIRTUAL SEMINAR/WORKSHOP ON THE MANUAL OF OPERATIONS FOR SCREENING DRUG TESTING LABORATORIES</w:t>
      </w:r>
      <w:r w:rsidRPr="009B2339">
        <w:rPr>
          <w:b/>
          <w:color w:val="7F7F7F" w:themeColor="text1" w:themeTint="80"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0B682D">
        <w:rPr>
          <w:b/>
          <w:sz w:val="22"/>
          <w:u w:val="single"/>
        </w:rPr>
        <w:t>July 2022</w:t>
      </w:r>
    </w:p>
    <w:p w:rsidR="00957734" w:rsidRPr="009B2339" w:rsidRDefault="00957734" w:rsidP="009577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HIV/AIDS AND HEPATITIS: UPDATES AND CHALLENGE IN THE MIDST OF A PANDEMIC</w:t>
      </w:r>
      <w:r w:rsidRPr="00957734">
        <w:rPr>
          <w:i/>
          <w:color w:val="7F7F7F" w:themeColor="text1" w:themeTint="80"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0B682D">
        <w:rPr>
          <w:b/>
          <w:color w:val="000000" w:themeColor="text1"/>
          <w:sz w:val="22"/>
          <w:szCs w:val="22"/>
          <w:u w:val="single"/>
        </w:rPr>
        <w:t>December 2020</w:t>
      </w:r>
    </w:p>
    <w:p w:rsidR="00957734" w:rsidRPr="009B2339" w:rsidRDefault="00957734" w:rsidP="009577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EXPANDING HORIZONS FOR GOLD PSMID AT THE FOREFRONT OF COVID-19</w:t>
      </w:r>
      <w:r w:rsidRPr="009B233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B682D">
        <w:rPr>
          <w:b/>
          <w:sz w:val="22"/>
          <w:szCs w:val="22"/>
          <w:u w:val="single"/>
        </w:rPr>
        <w:t>December 2020</w:t>
      </w:r>
    </w:p>
    <w:p w:rsidR="00957734" w:rsidRPr="00957734" w:rsidRDefault="00957734" w:rsidP="00957734">
      <w:pPr>
        <w:pStyle w:val="ListParagraph"/>
        <w:numPr>
          <w:ilvl w:val="0"/>
          <w:numId w:val="3"/>
        </w:numPr>
        <w:rPr>
          <w:i/>
          <w:color w:val="7F7F7F" w:themeColor="text1" w:themeTint="80"/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NAVIGATING THE PATH TOWARDS A SUCCESSFUL ENBS AMIDST CHALLENGES</w:t>
      </w:r>
    </w:p>
    <w:p w:rsidR="00957734" w:rsidRPr="000B682D" w:rsidRDefault="00957734" w:rsidP="00957734">
      <w:pPr>
        <w:pStyle w:val="ListParagraph"/>
        <w:ind w:left="7200" w:firstLine="720"/>
        <w:rPr>
          <w:b/>
          <w:sz w:val="22"/>
          <w:szCs w:val="22"/>
          <w:u w:val="single"/>
        </w:rPr>
      </w:pPr>
      <w:r w:rsidRPr="000B682D">
        <w:rPr>
          <w:b/>
          <w:sz w:val="22"/>
          <w:szCs w:val="22"/>
          <w:u w:val="single"/>
        </w:rPr>
        <w:t>October 2020</w:t>
      </w:r>
      <w:r w:rsidRPr="000B682D">
        <w:rPr>
          <w:b/>
          <w:sz w:val="22"/>
          <w:szCs w:val="22"/>
          <w:u w:val="single"/>
        </w:rPr>
        <w:tab/>
      </w:r>
    </w:p>
    <w:p w:rsidR="00957734" w:rsidRPr="000B682D" w:rsidRDefault="00957734" w:rsidP="009577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SARS-CoV-2/COVID-19: DECONTAMINATION AND WASTE DISPOSAL</w:t>
      </w:r>
      <w:r w:rsidRPr="000B682D">
        <w:rPr>
          <w:b/>
          <w:color w:val="7F7F7F" w:themeColor="text1" w:themeTint="80"/>
          <w:sz w:val="22"/>
          <w:szCs w:val="22"/>
        </w:rPr>
        <w:t xml:space="preserve"> </w:t>
      </w:r>
      <w:r w:rsidRPr="000B682D">
        <w:rPr>
          <w:b/>
          <w:sz w:val="22"/>
          <w:szCs w:val="22"/>
          <w:u w:val="single"/>
        </w:rPr>
        <w:t>October 2020</w:t>
      </w:r>
    </w:p>
    <w:p w:rsidR="00957734" w:rsidRDefault="00957734" w:rsidP="00957734">
      <w:pPr>
        <w:pStyle w:val="ListParagraph"/>
        <w:rPr>
          <w:color w:val="7F7F7F" w:themeColor="text1" w:themeTint="80"/>
          <w:sz w:val="22"/>
          <w:szCs w:val="22"/>
        </w:rPr>
      </w:pPr>
    </w:p>
    <w:p w:rsidR="00957734" w:rsidRPr="000B682D" w:rsidRDefault="00957734" w:rsidP="00957734">
      <w:pPr>
        <w:pStyle w:val="ListParagraph"/>
        <w:rPr>
          <w:color w:val="7F7F7F" w:themeColor="text1" w:themeTint="80"/>
          <w:sz w:val="22"/>
          <w:szCs w:val="22"/>
        </w:rPr>
      </w:pPr>
    </w:p>
    <w:p w:rsidR="00957734" w:rsidRPr="00957734" w:rsidRDefault="00957734" w:rsidP="00957734">
      <w:pPr>
        <w:pStyle w:val="ListParagraph"/>
        <w:numPr>
          <w:ilvl w:val="0"/>
          <w:numId w:val="3"/>
        </w:numPr>
        <w:rPr>
          <w:i/>
          <w:color w:val="7F7F7F" w:themeColor="text1" w:themeTint="80"/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ENHANCING COMPETENCIES, DEVELOPING PHILIPPINE LABORATORY LEADERS</w:t>
      </w:r>
    </w:p>
    <w:p w:rsidR="00957734" w:rsidRPr="000B682D" w:rsidRDefault="00957734" w:rsidP="00957734">
      <w:pPr>
        <w:ind w:left="7200" w:firstLine="720"/>
      </w:pPr>
      <w:r w:rsidRPr="000B682D">
        <w:rPr>
          <w:b/>
          <w:u w:val="single"/>
        </w:rPr>
        <w:t>September 2020</w:t>
      </w:r>
    </w:p>
    <w:p w:rsidR="00957734" w:rsidRPr="000B682D" w:rsidRDefault="00957734" w:rsidP="00957734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CRIME SCENE BIOSAFETY: LAW ENFORCEMENT AND FIRST RESPONDERS DURING COVID-19</w:t>
      </w:r>
      <w:r w:rsidRPr="00957734">
        <w:rPr>
          <w:i/>
          <w:color w:val="7F7F7F" w:themeColor="text1" w:themeTint="80"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B682D">
        <w:rPr>
          <w:b/>
          <w:sz w:val="22"/>
          <w:szCs w:val="22"/>
          <w:u w:val="single"/>
        </w:rPr>
        <w:t>September 2020</w:t>
      </w:r>
    </w:p>
    <w:p w:rsidR="00957734" w:rsidRPr="009B2339" w:rsidRDefault="00957734" w:rsidP="00957734">
      <w:pPr>
        <w:pStyle w:val="ListParagraph"/>
        <w:rPr>
          <w:b/>
          <w:u w:val="single"/>
        </w:rPr>
      </w:pPr>
    </w:p>
    <w:p w:rsidR="00957734" w:rsidRPr="000B682D" w:rsidRDefault="00957734" w:rsidP="009577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PHLEBOTOMY WORKSHOP AND ENHANCEMENT OF THE PRE-ANALYTIC PHASE OF THE LABORATORY</w:t>
      </w:r>
      <w:r w:rsidRPr="00957734">
        <w:rPr>
          <w:i/>
          <w:color w:val="7F7F7F" w:themeColor="text1" w:themeTint="80"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B682D">
        <w:rPr>
          <w:b/>
          <w:sz w:val="22"/>
          <w:szCs w:val="22"/>
          <w:u w:val="single"/>
        </w:rPr>
        <w:t>July 2017</w:t>
      </w:r>
    </w:p>
    <w:p w:rsidR="00957734" w:rsidRPr="009B2339" w:rsidRDefault="00957734" w:rsidP="00957734">
      <w:pPr>
        <w:pStyle w:val="ListParagraph"/>
        <w:rPr>
          <w:b/>
        </w:rPr>
      </w:pPr>
    </w:p>
    <w:p w:rsidR="00957734" w:rsidRPr="000B682D" w:rsidRDefault="00957734" w:rsidP="009577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734">
        <w:rPr>
          <w:i/>
          <w:color w:val="7F7F7F" w:themeColor="text1" w:themeTint="80"/>
          <w:sz w:val="22"/>
          <w:szCs w:val="22"/>
        </w:rPr>
        <w:t>RAPID DETECTION OF CLINICALLY IMPORTANT MICROBES USING MOLECULAR TECHNIQUES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B682D">
        <w:rPr>
          <w:b/>
          <w:sz w:val="22"/>
          <w:szCs w:val="22"/>
          <w:u w:val="single"/>
        </w:rPr>
        <w:t>November 2016</w:t>
      </w:r>
    </w:p>
    <w:p w:rsidR="00957734" w:rsidRDefault="00957734" w:rsidP="0095773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 xml:space="preserve">Machines Handled </w:t>
      </w:r>
    </w:p>
    <w:p w:rsidR="00957734" w:rsidRDefault="00957734" w:rsidP="00957734">
      <w:pPr>
        <w:pStyle w:val="NoSpacing"/>
      </w:pPr>
    </w:p>
    <w:p w:rsidR="00957734" w:rsidRPr="00FE6BAD" w:rsidRDefault="00957734" w:rsidP="00957734">
      <w:pPr>
        <w:pStyle w:val="NoSpacing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:rsidR="00957734" w:rsidRPr="00FE6BAD" w:rsidRDefault="00957734" w:rsidP="00957734">
      <w:pPr>
        <w:pStyle w:val="NoSpacing"/>
        <w:spacing w:line="276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FE6BAD">
        <w:rPr>
          <w:rFonts w:ascii="Arial" w:hAnsi="Arial" w:cs="Arial"/>
          <w:color w:val="7F7F7F" w:themeColor="text1" w:themeTint="80"/>
          <w:sz w:val="18"/>
          <w:szCs w:val="18"/>
        </w:rPr>
        <w:t>HEMATOLOGY</w:t>
      </w:r>
    </w:p>
    <w:p w:rsidR="00957734" w:rsidRPr="00FE6BAD" w:rsidRDefault="00957734" w:rsidP="00957734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BC3200</w:t>
      </w:r>
      <w:r w:rsidRPr="00FE6BAD">
        <w:rPr>
          <w:rFonts w:ascii="Arial" w:hAnsi="Arial" w:cs="Arial"/>
          <w:sz w:val="18"/>
          <w:szCs w:val="18"/>
        </w:rPr>
        <w:t xml:space="preserve"> Hematology Analyzer</w:t>
      </w:r>
    </w:p>
    <w:p w:rsidR="00957734" w:rsidRPr="00FE6BAD" w:rsidRDefault="00957734" w:rsidP="00957734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SYSMEX XP-100 Hematology Analyzer</w:t>
      </w:r>
    </w:p>
    <w:p w:rsidR="00957734" w:rsidRPr="00FE6BAD" w:rsidRDefault="00957734" w:rsidP="00957734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Medonic</w:t>
      </w:r>
      <w:proofErr w:type="spellEnd"/>
      <w:r>
        <w:rPr>
          <w:rFonts w:ascii="Arial" w:hAnsi="Arial" w:cs="Arial"/>
          <w:sz w:val="18"/>
          <w:szCs w:val="18"/>
        </w:rPr>
        <w:t xml:space="preserve"> Hematology Analyzer</w:t>
      </w:r>
    </w:p>
    <w:p w:rsidR="00957734" w:rsidRDefault="00957734" w:rsidP="00957734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BC-6200 Hematology Analyzer</w:t>
      </w:r>
    </w:p>
    <w:p w:rsidR="00957734" w:rsidRDefault="00957734" w:rsidP="00957734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Nihon </w:t>
      </w:r>
      <w:proofErr w:type="spellStart"/>
      <w:r>
        <w:rPr>
          <w:rFonts w:ascii="Arial" w:hAnsi="Arial" w:cs="Arial"/>
          <w:sz w:val="18"/>
          <w:szCs w:val="18"/>
        </w:rPr>
        <w:t>Kohden</w:t>
      </w:r>
      <w:proofErr w:type="spellEnd"/>
      <w:r>
        <w:rPr>
          <w:rFonts w:ascii="Arial" w:hAnsi="Arial" w:cs="Arial"/>
          <w:sz w:val="18"/>
          <w:szCs w:val="18"/>
        </w:rPr>
        <w:t xml:space="preserve"> 6510 K Hematology Analyzer</w:t>
      </w:r>
    </w:p>
    <w:p w:rsidR="00065D32" w:rsidRDefault="00065D32" w:rsidP="00957734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957734" w:rsidRPr="00FE6BAD" w:rsidRDefault="00957734" w:rsidP="00957734">
      <w:pPr>
        <w:pStyle w:val="NoSpacing"/>
        <w:spacing w:line="276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FE6BAD">
        <w:rPr>
          <w:rFonts w:ascii="Arial" w:hAnsi="Arial" w:cs="Arial"/>
          <w:color w:val="7F7F7F" w:themeColor="text1" w:themeTint="80"/>
          <w:sz w:val="18"/>
          <w:szCs w:val="18"/>
        </w:rPr>
        <w:t>CHEMISTRY</w:t>
      </w:r>
    </w:p>
    <w:p w:rsidR="00957734" w:rsidRPr="00FE6BAD" w:rsidRDefault="00957734" w:rsidP="0095773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STATFAX</w:t>
      </w:r>
      <w:r w:rsidRPr="00FE6B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1904 </w:t>
      </w:r>
      <w:proofErr w:type="spellStart"/>
      <w:r>
        <w:rPr>
          <w:rFonts w:ascii="Arial" w:hAnsi="Arial" w:cs="Arial"/>
          <w:sz w:val="18"/>
          <w:szCs w:val="18"/>
        </w:rPr>
        <w:t>AAe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FE6BAD">
        <w:rPr>
          <w:rFonts w:ascii="Arial" w:hAnsi="Arial" w:cs="Arial"/>
          <w:sz w:val="18"/>
          <w:szCs w:val="18"/>
        </w:rPr>
        <w:t>Chemistry Analyzer</w:t>
      </w:r>
    </w:p>
    <w:p w:rsidR="00957734" w:rsidRPr="00FE6BAD" w:rsidRDefault="00957734" w:rsidP="0095773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BS-200</w:t>
      </w:r>
      <w:r w:rsidRPr="00FE6BAD">
        <w:rPr>
          <w:rFonts w:ascii="Arial" w:hAnsi="Arial" w:cs="Arial"/>
          <w:sz w:val="18"/>
          <w:szCs w:val="18"/>
        </w:rPr>
        <w:t xml:space="preserve"> Chemistry Analyzer</w:t>
      </w:r>
    </w:p>
    <w:p w:rsidR="00957734" w:rsidRDefault="00957734" w:rsidP="0095773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AUDICOM AC 9803 Electrolyte Analyzer</w:t>
      </w:r>
    </w:p>
    <w:p w:rsidR="00957734" w:rsidRDefault="00957734" w:rsidP="0095773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BIORAD D10 HbA1c Analyzer</w:t>
      </w:r>
    </w:p>
    <w:p w:rsidR="00957734" w:rsidRDefault="00957734" w:rsidP="0095773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Finecare</w:t>
      </w:r>
      <w:proofErr w:type="spellEnd"/>
      <w:r>
        <w:rPr>
          <w:rFonts w:ascii="Arial" w:hAnsi="Arial" w:cs="Arial"/>
          <w:sz w:val="18"/>
          <w:szCs w:val="18"/>
        </w:rPr>
        <w:t xml:space="preserve"> HbA1c Analyzer</w:t>
      </w:r>
    </w:p>
    <w:p w:rsidR="00957734" w:rsidRPr="006E1490" w:rsidRDefault="00957734" w:rsidP="00957734">
      <w:pPr>
        <w:pStyle w:val="NoSpacing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:rsidR="00957734" w:rsidRPr="00FE6BAD" w:rsidRDefault="00957734" w:rsidP="00957734">
      <w:pPr>
        <w:pStyle w:val="NoSpacing"/>
        <w:spacing w:line="276" w:lineRule="auto"/>
        <w:rPr>
          <w:rFonts w:ascii="Arial" w:hAnsi="Arial" w:cs="Arial"/>
          <w:color w:val="7F7F7F" w:themeColor="text1" w:themeTint="80"/>
          <w:sz w:val="18"/>
          <w:szCs w:val="18"/>
        </w:rPr>
      </w:pPr>
      <w:r w:rsidRPr="00FE6BAD">
        <w:rPr>
          <w:rFonts w:ascii="Arial" w:hAnsi="Arial" w:cs="Arial"/>
          <w:color w:val="7F7F7F" w:themeColor="text1" w:themeTint="80"/>
          <w:sz w:val="18"/>
          <w:szCs w:val="18"/>
        </w:rPr>
        <w:t>CLINICAL MICROSCOPY</w:t>
      </w:r>
    </w:p>
    <w:p w:rsidR="00957734" w:rsidRPr="000B682D" w:rsidRDefault="00957734" w:rsidP="00957734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Mission U500</w:t>
      </w:r>
      <w:r w:rsidRPr="00FE6BAD">
        <w:rPr>
          <w:rFonts w:ascii="Arial" w:hAnsi="Arial" w:cs="Arial"/>
          <w:sz w:val="18"/>
          <w:szCs w:val="18"/>
        </w:rPr>
        <w:t xml:space="preserve"> Urine Strip Reader</w:t>
      </w:r>
    </w:p>
    <w:p w:rsidR="00550950" w:rsidRDefault="00550950">
      <w:pPr>
        <w:rPr>
          <w:i/>
        </w:rPr>
      </w:pPr>
    </w:p>
    <w:p w:rsidR="00065D32" w:rsidRDefault="00065D32" w:rsidP="00065D3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>References</w:t>
      </w:r>
    </w:p>
    <w:p w:rsidR="00065D32" w:rsidRDefault="00065D32" w:rsidP="00065D32">
      <w:pPr>
        <w:rPr>
          <w:lang w:val="en" w:eastAsia="en-PH"/>
        </w:rPr>
      </w:pPr>
      <w:r>
        <w:rPr>
          <w:lang w:val="en" w:eastAsia="en-PH"/>
        </w:rPr>
        <w:t>Available upon request</w:t>
      </w:r>
    </w:p>
    <w:p w:rsidR="00065D32" w:rsidRDefault="00065D32" w:rsidP="00065D32">
      <w:pPr>
        <w:rPr>
          <w:lang w:val="en" w:eastAsia="en-PH"/>
        </w:rPr>
      </w:pPr>
    </w:p>
    <w:p w:rsidR="00065D32" w:rsidRPr="00065D32" w:rsidRDefault="00065D32" w:rsidP="00065D3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45911" w:themeColor="accent2" w:themeShade="BF"/>
        </w:rPr>
      </w:pPr>
      <w:r>
        <w:rPr>
          <w:rFonts w:ascii="Arial" w:eastAsia="Arial" w:hAnsi="Arial" w:cs="Arial"/>
          <w:color w:val="C45911" w:themeColor="accent2" w:themeShade="BF"/>
        </w:rPr>
        <w:t>Notice Period</w:t>
      </w:r>
    </w:p>
    <w:p w:rsidR="00065D32" w:rsidRPr="00065D32" w:rsidRDefault="00065D32">
      <w:r>
        <w:t>1 Month</w:t>
      </w:r>
    </w:p>
    <w:sectPr w:rsidR="00065D32" w:rsidRPr="00065D32" w:rsidSect="008519DC">
      <w:headerReference w:type="default" r:id="rId9"/>
      <w:headerReference w:type="first" r:id="rId10"/>
      <w:footerReference w:type="first" r:id="rId11"/>
      <w:pgSz w:w="11906" w:h="16838" w:code="9"/>
      <w:pgMar w:top="450" w:right="849" w:bottom="993" w:left="1170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9DC" w:rsidRDefault="008519DC">
      <w:pPr>
        <w:spacing w:after="0" w:line="240" w:lineRule="auto"/>
      </w:pPr>
      <w:r>
        <w:separator/>
      </w:r>
    </w:p>
  </w:endnote>
  <w:endnote w:type="continuationSeparator" w:id="0">
    <w:p w:rsidR="008519DC" w:rsidRDefault="0085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9DC" w:rsidRDefault="008519DC">
      <w:pPr>
        <w:spacing w:after="0" w:line="240" w:lineRule="auto"/>
      </w:pPr>
      <w:r>
        <w:separator/>
      </w:r>
    </w:p>
  </w:footnote>
  <w:footnote w:type="continuationSeparator" w:id="0">
    <w:p w:rsidR="008519DC" w:rsidRDefault="0085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5D32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>
      <w:rPr>
        <w:noProof/>
        <w:color w:val="F75D5D"/>
      </w:rPr>
      <w:t>4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ED8"/>
    <w:multiLevelType w:val="multilevel"/>
    <w:tmpl w:val="3DB25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30A9E"/>
    <w:multiLevelType w:val="multilevel"/>
    <w:tmpl w:val="1F4C02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2" w15:restartNumberingAfterBreak="0">
    <w:nsid w:val="350B2A33"/>
    <w:multiLevelType w:val="multilevel"/>
    <w:tmpl w:val="4AF051D0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3" w15:restartNumberingAfterBreak="0">
    <w:nsid w:val="3AE22167"/>
    <w:multiLevelType w:val="hybridMultilevel"/>
    <w:tmpl w:val="27EE345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7955"/>
    <w:multiLevelType w:val="multilevel"/>
    <w:tmpl w:val="3DB25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7356A3"/>
    <w:multiLevelType w:val="hybridMultilevel"/>
    <w:tmpl w:val="D3C4A31E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3E5F"/>
    <w:multiLevelType w:val="hybridMultilevel"/>
    <w:tmpl w:val="1E562EA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42466"/>
    <w:multiLevelType w:val="hybridMultilevel"/>
    <w:tmpl w:val="0E24D04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5828">
    <w:abstractNumId w:val="0"/>
  </w:num>
  <w:num w:numId="2" w16cid:durableId="1291201861">
    <w:abstractNumId w:val="4"/>
  </w:num>
  <w:num w:numId="3" w16cid:durableId="357000988">
    <w:abstractNumId w:val="5"/>
  </w:num>
  <w:num w:numId="4" w16cid:durableId="1602488050">
    <w:abstractNumId w:val="6"/>
  </w:num>
  <w:num w:numId="5" w16cid:durableId="198710486">
    <w:abstractNumId w:val="7"/>
  </w:num>
  <w:num w:numId="6" w16cid:durableId="53546607">
    <w:abstractNumId w:val="3"/>
  </w:num>
  <w:num w:numId="7" w16cid:durableId="959149671">
    <w:abstractNumId w:val="1"/>
  </w:num>
  <w:num w:numId="8" w16cid:durableId="192421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44"/>
    <w:rsid w:val="00065D32"/>
    <w:rsid w:val="0023524D"/>
    <w:rsid w:val="00317924"/>
    <w:rsid w:val="004275C2"/>
    <w:rsid w:val="00550950"/>
    <w:rsid w:val="008519DC"/>
    <w:rsid w:val="00957734"/>
    <w:rsid w:val="00D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8E81"/>
  <w15:chartTrackingRefBased/>
  <w15:docId w15:val="{7642D3C9-CC87-4354-A71E-5540DE21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734"/>
    <w:pPr>
      <w:keepNext/>
      <w:keepLines/>
      <w:widowControl w:val="0"/>
      <w:spacing w:before="320" w:after="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  <w:lang w:val="en" w:eastAsia="en-P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734"/>
    <w:pPr>
      <w:spacing w:before="200" w:after="0" w:line="312" w:lineRule="auto"/>
      <w:ind w:left="-15" w:right="-30"/>
      <w:outlineLvl w:val="1"/>
    </w:pPr>
    <w:rPr>
      <w:rFonts w:ascii="Lato" w:eastAsia="Lato" w:hAnsi="Lato" w:cs="Lato"/>
      <w:color w:val="666666"/>
      <w:sz w:val="18"/>
      <w:szCs w:val="18"/>
      <w:lang w:val="en" w:eastAsia="en-P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734"/>
    <w:pPr>
      <w:spacing w:after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lang w:val="en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734"/>
    <w:rPr>
      <w:rFonts w:ascii="Playfair Display" w:eastAsia="Playfair Display" w:hAnsi="Playfair Display" w:cs="Playfair Display"/>
      <w:b/>
      <w:color w:val="F75D5D"/>
      <w:sz w:val="28"/>
      <w:szCs w:val="28"/>
      <w:lang w:val="en"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957734"/>
    <w:rPr>
      <w:rFonts w:ascii="Lato" w:eastAsia="Lato" w:hAnsi="Lato" w:cs="Lato"/>
      <w:color w:val="666666"/>
      <w:sz w:val="18"/>
      <w:szCs w:val="18"/>
      <w:lang w:val="en"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57734"/>
    <w:rPr>
      <w:rFonts w:ascii="Playfair Display" w:eastAsia="Playfair Display" w:hAnsi="Playfair Display" w:cs="Playfair Display"/>
      <w:b/>
      <w:color w:val="000000"/>
      <w:lang w:val="en" w:eastAsia="en-PH"/>
    </w:rPr>
  </w:style>
  <w:style w:type="paragraph" w:styleId="ListParagraph">
    <w:name w:val="List Paragraph"/>
    <w:basedOn w:val="Normal"/>
    <w:uiPriority w:val="34"/>
    <w:qFormat/>
    <w:rsid w:val="00957734"/>
    <w:pPr>
      <w:spacing w:before="200" w:after="0" w:line="312" w:lineRule="auto"/>
      <w:ind w:left="720"/>
      <w:contextualSpacing/>
    </w:pPr>
    <w:rPr>
      <w:rFonts w:ascii="Lato" w:eastAsia="Lato" w:hAnsi="Lato" w:cs="Lato"/>
      <w:sz w:val="20"/>
      <w:szCs w:val="20"/>
      <w:lang w:val="en" w:eastAsia="en-PH"/>
    </w:rPr>
  </w:style>
  <w:style w:type="paragraph" w:styleId="NoSpacing">
    <w:name w:val="No Spacing"/>
    <w:uiPriority w:val="1"/>
    <w:qFormat/>
    <w:rsid w:val="00957734"/>
    <w:pPr>
      <w:spacing w:after="0" w:line="240" w:lineRule="auto"/>
    </w:pPr>
    <w:rPr>
      <w:rFonts w:ascii="Lato" w:eastAsia="Lato" w:hAnsi="Lato" w:cs="Lato"/>
      <w:sz w:val="20"/>
      <w:szCs w:val="20"/>
      <w:lang w:val="en" w:eastAsia="en-PH"/>
    </w:rPr>
  </w:style>
  <w:style w:type="paragraph" w:styleId="Title">
    <w:name w:val="Title"/>
    <w:basedOn w:val="Normal"/>
    <w:next w:val="Normal"/>
    <w:link w:val="TitleChar"/>
    <w:rsid w:val="00957734"/>
    <w:pPr>
      <w:spacing w:after="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57734"/>
    <w:rPr>
      <w:rFonts w:ascii="Arial" w:eastAsia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aiabillones@yahoo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Jaraia Billones</dc:creator>
  <cp:keywords/>
  <dc:description/>
  <cp:lastModifiedBy>Jaraia Billones</cp:lastModifiedBy>
  <cp:revision>5</cp:revision>
  <dcterms:created xsi:type="dcterms:W3CDTF">2023-05-04T12:11:00Z</dcterms:created>
  <dcterms:modified xsi:type="dcterms:W3CDTF">2024-03-14T05:06:00Z</dcterms:modified>
</cp:coreProperties>
</file>