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8793" w14:textId="770859BD" w:rsidR="008F7E4A" w:rsidRPr="00E75790" w:rsidRDefault="008F7E4A" w:rsidP="004E6016">
      <w:pPr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  <w:r w:rsidRPr="00E75790">
        <w:rPr>
          <w:rFonts w:asciiTheme="majorHAnsi" w:hAnsiTheme="majorHAnsi" w:cstheme="majorHAnsi"/>
          <w:b/>
          <w:noProof/>
          <w:sz w:val="22"/>
          <w:szCs w:val="22"/>
        </w:rPr>
        <w:t>MYLENE T. ENRIQUEZ</w:t>
      </w:r>
    </w:p>
    <w:p w14:paraId="4357F575" w14:textId="34F67B70" w:rsidR="00522848" w:rsidRPr="00E75790" w:rsidRDefault="00C156C5" w:rsidP="004E6016">
      <w:pPr>
        <w:jc w:val="both"/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</w:pPr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 xml:space="preserve">0062 Lions Road, Dalisay Optical, </w:t>
      </w:r>
      <w:proofErr w:type="spellStart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>Barangka</w:t>
      </w:r>
      <w:proofErr w:type="spellEnd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 xml:space="preserve"> </w:t>
      </w:r>
      <w:proofErr w:type="spellStart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>Ilaya</w:t>
      </w:r>
      <w:proofErr w:type="spellEnd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 xml:space="preserve">, </w:t>
      </w:r>
      <w:proofErr w:type="spellStart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>Manadaluyong</w:t>
      </w:r>
      <w:proofErr w:type="spellEnd"/>
      <w:r w:rsidRPr="00E75790">
        <w:rPr>
          <w:rFonts w:asciiTheme="majorHAnsi" w:hAnsiTheme="majorHAnsi" w:cstheme="majorHAnsi"/>
          <w:color w:val="373E4D"/>
          <w:sz w:val="22"/>
          <w:szCs w:val="22"/>
          <w:shd w:val="clear" w:color="auto" w:fill="FEFEFE"/>
        </w:rPr>
        <w:t xml:space="preserve"> </w:t>
      </w:r>
    </w:p>
    <w:p w14:paraId="20706871" w14:textId="738A7F03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Email address: </w:t>
      </w:r>
      <w:r w:rsidR="00C156C5" w:rsidRPr="00E75790">
        <w:rPr>
          <w:rFonts w:asciiTheme="majorHAnsi" w:hAnsiTheme="majorHAnsi" w:cstheme="majorHAnsi"/>
          <w:sz w:val="22"/>
          <w:szCs w:val="22"/>
        </w:rPr>
        <w:t>my.enriquez</w:t>
      </w:r>
      <w:r w:rsidRPr="00E75790">
        <w:rPr>
          <w:rFonts w:asciiTheme="majorHAnsi" w:hAnsiTheme="majorHAnsi" w:cstheme="majorHAnsi"/>
          <w:sz w:val="22"/>
          <w:szCs w:val="22"/>
        </w:rPr>
        <w:t>@yahoo.com</w:t>
      </w:r>
    </w:p>
    <w:p w14:paraId="13636FD9" w14:textId="77777777" w:rsidR="008F7E4A" w:rsidRPr="00E75790" w:rsidRDefault="00E219ED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Contact </w:t>
      </w:r>
      <w:r w:rsidR="00482D61" w:rsidRPr="00E75790">
        <w:rPr>
          <w:rFonts w:asciiTheme="majorHAnsi" w:hAnsiTheme="majorHAnsi" w:cstheme="majorHAnsi"/>
          <w:sz w:val="22"/>
          <w:szCs w:val="22"/>
        </w:rPr>
        <w:t>#:</w:t>
      </w:r>
      <w:r w:rsidRPr="00E75790">
        <w:rPr>
          <w:rFonts w:asciiTheme="majorHAnsi" w:hAnsiTheme="majorHAnsi" w:cstheme="majorHAnsi"/>
          <w:sz w:val="22"/>
          <w:szCs w:val="22"/>
        </w:rPr>
        <w:t xml:space="preserve"> </w:t>
      </w:r>
      <w:r w:rsidR="00522848" w:rsidRPr="00E75790">
        <w:rPr>
          <w:rFonts w:asciiTheme="majorHAnsi" w:hAnsiTheme="majorHAnsi" w:cstheme="majorHAnsi"/>
          <w:sz w:val="22"/>
          <w:szCs w:val="22"/>
        </w:rPr>
        <w:t xml:space="preserve"> +639</w:t>
      </w:r>
      <w:r w:rsidR="00CC0F04" w:rsidRPr="00E75790">
        <w:rPr>
          <w:rFonts w:asciiTheme="majorHAnsi" w:hAnsiTheme="majorHAnsi" w:cstheme="majorHAnsi"/>
          <w:sz w:val="22"/>
          <w:szCs w:val="22"/>
        </w:rPr>
        <w:t>380528175</w:t>
      </w:r>
    </w:p>
    <w:p w14:paraId="68C6A588" w14:textId="77777777" w:rsidR="00E219ED" w:rsidRPr="00E75790" w:rsidRDefault="00E219ED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7C93A1C" w14:textId="77777777" w:rsidR="006905CA" w:rsidRPr="00E75790" w:rsidRDefault="006905CA" w:rsidP="00E219E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6002A23" w14:textId="77777777" w:rsidR="00357758" w:rsidRPr="00E75790" w:rsidRDefault="00357758" w:rsidP="00A042AC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F5D5CCE" w14:textId="77777777" w:rsidR="00BD661A" w:rsidRPr="00E75790" w:rsidRDefault="008F7E4A" w:rsidP="00A042AC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t>WORK HISTOR</w:t>
      </w:r>
      <w:r w:rsidR="006E2670" w:rsidRPr="00E75790">
        <w:rPr>
          <w:rFonts w:asciiTheme="majorHAnsi" w:hAnsiTheme="majorHAnsi" w:cstheme="majorHAnsi"/>
          <w:b/>
          <w:sz w:val="22"/>
          <w:szCs w:val="22"/>
        </w:rPr>
        <w:t>Y</w:t>
      </w:r>
    </w:p>
    <w:p w14:paraId="2BBE0761" w14:textId="77777777" w:rsidR="006E2670" w:rsidRPr="00E75790" w:rsidRDefault="006E2670" w:rsidP="00A042AC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1756469" w14:textId="5F8C0C4D" w:rsidR="00C156C5" w:rsidRPr="00E75790" w:rsidRDefault="008D2D38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7579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13F1" wp14:editId="697DDD44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064250" cy="0"/>
                <wp:effectExtent l="0" t="19050" r="50800" b="38100"/>
                <wp:wrapSquare wrapText="bothSides"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D4AB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77.5pt,6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" strokecolor="#333" strokeweight="4.5pt">
                <v:stroke linestyle="thickThin"/>
                <o:lock v:ext="edit" shapetype="f"/>
                <w10:wrap type="square"/>
              </v:line>
            </w:pict>
          </mc:Fallback>
        </mc:AlternateContent>
      </w:r>
    </w:p>
    <w:p w14:paraId="79F234EE" w14:textId="77777777" w:rsidR="00E75790" w:rsidRDefault="00E75790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9E641B4" w14:textId="5924F5B0" w:rsidR="00C156C5" w:rsidRPr="00E75790" w:rsidRDefault="00C156C5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75790">
        <w:rPr>
          <w:rFonts w:asciiTheme="majorHAnsi" w:hAnsiTheme="majorHAnsi" w:cstheme="majorHAnsi"/>
          <w:b/>
          <w:bCs/>
          <w:sz w:val="22"/>
          <w:szCs w:val="22"/>
        </w:rPr>
        <w:t>Provider Service Guide – Devoted Health</w:t>
      </w:r>
    </w:p>
    <w:p w14:paraId="781C21AC" w14:textId="15F12089" w:rsidR="00C156C5" w:rsidRPr="00E75790" w:rsidRDefault="00C156C5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75790">
        <w:rPr>
          <w:rFonts w:asciiTheme="majorHAnsi" w:hAnsiTheme="majorHAnsi" w:cstheme="majorHAnsi"/>
          <w:b/>
          <w:bCs/>
          <w:sz w:val="22"/>
          <w:szCs w:val="22"/>
        </w:rPr>
        <w:t>Access Healthcare</w:t>
      </w:r>
    </w:p>
    <w:p w14:paraId="7076795A" w14:textId="7B250A4D" w:rsidR="00C156C5" w:rsidRPr="00E75790" w:rsidRDefault="00C156C5" w:rsidP="008613D7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6</w:t>
      </w:r>
      <w:r w:rsidRPr="00E75790">
        <w:rPr>
          <w:rFonts w:asciiTheme="majorHAnsi" w:hAnsiTheme="majorHAnsi" w:cstheme="majorHAnsi"/>
          <w:sz w:val="22"/>
          <w:szCs w:val="22"/>
        </w:rPr>
        <w:t>/</w:t>
      </w:r>
      <w:r w:rsidRPr="00E75790">
        <w:rPr>
          <w:rFonts w:asciiTheme="majorHAnsi" w:hAnsiTheme="majorHAnsi" w:cstheme="majorHAnsi"/>
          <w:sz w:val="22"/>
          <w:szCs w:val="22"/>
        </w:rPr>
        <w:t>Floor, Unit B, One World Square, McKinley Hill, Taguig City 163</w:t>
      </w:r>
    </w:p>
    <w:p w14:paraId="6EC9392E" w14:textId="0CBEE3A3" w:rsidR="00C156C5" w:rsidRPr="00E75790" w:rsidRDefault="00C156C5" w:rsidP="008613D7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July 22, 2020 </w:t>
      </w:r>
      <w:r w:rsidR="00846D46" w:rsidRPr="00E75790">
        <w:rPr>
          <w:rFonts w:asciiTheme="majorHAnsi" w:hAnsiTheme="majorHAnsi" w:cstheme="majorHAnsi"/>
          <w:sz w:val="22"/>
          <w:szCs w:val="22"/>
        </w:rPr>
        <w:t>–</w:t>
      </w:r>
      <w:r w:rsidRPr="00E75790">
        <w:rPr>
          <w:rFonts w:asciiTheme="majorHAnsi" w:hAnsiTheme="majorHAnsi" w:cstheme="majorHAnsi"/>
          <w:sz w:val="22"/>
          <w:szCs w:val="22"/>
        </w:rPr>
        <w:t xml:space="preserve"> </w:t>
      </w:r>
      <w:r w:rsidR="00846D46" w:rsidRPr="00E75790">
        <w:rPr>
          <w:rFonts w:asciiTheme="majorHAnsi" w:hAnsiTheme="majorHAnsi" w:cstheme="majorHAnsi"/>
          <w:sz w:val="22"/>
          <w:szCs w:val="22"/>
        </w:rPr>
        <w:t>P</w:t>
      </w:r>
      <w:r w:rsidRPr="00E75790">
        <w:rPr>
          <w:rFonts w:asciiTheme="majorHAnsi" w:hAnsiTheme="majorHAnsi" w:cstheme="majorHAnsi"/>
          <w:sz w:val="22"/>
          <w:szCs w:val="22"/>
        </w:rPr>
        <w:t>resent</w:t>
      </w:r>
    </w:p>
    <w:p w14:paraId="14B8D268" w14:textId="7F8FF831" w:rsidR="00846D46" w:rsidRPr="00E75790" w:rsidRDefault="00846D46" w:rsidP="00846D46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Handles eligibility Inquiry</w:t>
      </w:r>
    </w:p>
    <w:p w14:paraId="51315EFE" w14:textId="14248CBA" w:rsidR="00846D46" w:rsidRPr="00E75790" w:rsidRDefault="00846D46" w:rsidP="00846D46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Confirms provider network Status</w:t>
      </w:r>
    </w:p>
    <w:p w14:paraId="59377437" w14:textId="65ADE764" w:rsidR="00846D46" w:rsidRPr="00E75790" w:rsidRDefault="00E75790" w:rsidP="00846D46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Handles c</w:t>
      </w:r>
      <w:r w:rsidR="00846D46" w:rsidRPr="00E75790">
        <w:rPr>
          <w:rFonts w:asciiTheme="majorHAnsi" w:hAnsiTheme="majorHAnsi" w:cstheme="majorHAnsi"/>
          <w:sz w:val="22"/>
          <w:szCs w:val="22"/>
        </w:rPr>
        <w:t>laims Inquiry</w:t>
      </w:r>
    </w:p>
    <w:p w14:paraId="5D6F2471" w14:textId="77777777" w:rsidR="00C156C5" w:rsidRPr="00E75790" w:rsidRDefault="00C156C5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E6E5AA7" w14:textId="77777777" w:rsidR="00E75790" w:rsidRDefault="00E75790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FBA5674" w14:textId="5BE5800D" w:rsidR="00650CC0" w:rsidRPr="00E75790" w:rsidRDefault="00650CC0" w:rsidP="008613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75790">
        <w:rPr>
          <w:rFonts w:asciiTheme="majorHAnsi" w:hAnsiTheme="majorHAnsi" w:cstheme="majorHAnsi"/>
          <w:b/>
          <w:bCs/>
          <w:sz w:val="22"/>
          <w:szCs w:val="22"/>
        </w:rPr>
        <w:t>Assistant Operator</w:t>
      </w:r>
    </w:p>
    <w:p w14:paraId="0A939BB3" w14:textId="77777777" w:rsidR="00650CC0" w:rsidRPr="00E75790" w:rsidRDefault="00650CC0" w:rsidP="008613D7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Innolux Corporation</w:t>
      </w:r>
    </w:p>
    <w:p w14:paraId="5BC8E9A8" w14:textId="77777777" w:rsidR="00650CC0" w:rsidRPr="00E75790" w:rsidRDefault="00650CC0" w:rsidP="008613D7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Tainan City, Taiwan ROC</w:t>
      </w:r>
    </w:p>
    <w:p w14:paraId="45B8C4BF" w14:textId="77777777" w:rsidR="00650CC0" w:rsidRPr="00E75790" w:rsidRDefault="00650CC0" w:rsidP="008613D7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June 22, 2017 – November 11, 2019 </w:t>
      </w:r>
    </w:p>
    <w:p w14:paraId="5C60B0BF" w14:textId="77777777" w:rsidR="00650CC0" w:rsidRPr="00E75790" w:rsidRDefault="00650CC0" w:rsidP="008613D7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046975AB" w14:textId="77777777" w:rsidR="00650CC0" w:rsidRPr="00E75790" w:rsidRDefault="003B1D81" w:rsidP="00650CC0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Handles ma</w:t>
      </w:r>
      <w:r w:rsidR="00312645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chine operation for panel test</w:t>
      </w:r>
    </w:p>
    <w:p w14:paraId="5CD3D246" w14:textId="77777777" w:rsidR="00650CC0" w:rsidRPr="00E75790" w:rsidRDefault="00650CC0" w:rsidP="00650CC0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Do visual physical panel inspection</w:t>
      </w:r>
    </w:p>
    <w:p w14:paraId="4536A743" w14:textId="77777777" w:rsidR="00650CC0" w:rsidRPr="00E75790" w:rsidRDefault="00650CC0" w:rsidP="00A042AC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Assist with all other functions (packing, protective film, </w:t>
      </w:r>
      <w:proofErr w:type="spellStart"/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etc</w:t>
      </w:r>
      <w:proofErr w:type="spellEnd"/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)</w:t>
      </w:r>
    </w:p>
    <w:p w14:paraId="5CBB9B64" w14:textId="77777777" w:rsidR="00650CC0" w:rsidRPr="00E75790" w:rsidRDefault="00650CC0" w:rsidP="00A042AC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41ABD63" w14:textId="77777777" w:rsidR="00E75790" w:rsidRDefault="00E75790" w:rsidP="00A042AC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45344E" w14:textId="3A9869AC" w:rsidR="00A042AC" w:rsidRPr="00E75790" w:rsidRDefault="00A042AC" w:rsidP="00A042AC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75790">
        <w:rPr>
          <w:rFonts w:asciiTheme="majorHAnsi" w:hAnsiTheme="majorHAnsi" w:cstheme="majorHAnsi"/>
          <w:b/>
          <w:bCs/>
          <w:sz w:val="22"/>
          <w:szCs w:val="22"/>
        </w:rPr>
        <w:t>Reservation Specialist</w:t>
      </w:r>
      <w:r w:rsidR="00522848" w:rsidRPr="00E75790">
        <w:rPr>
          <w:rFonts w:asciiTheme="majorHAnsi" w:hAnsiTheme="majorHAnsi" w:cstheme="majorHAnsi"/>
          <w:b/>
          <w:bCs/>
          <w:sz w:val="22"/>
          <w:szCs w:val="22"/>
        </w:rPr>
        <w:t xml:space="preserve"> – Spirit Airlines</w:t>
      </w:r>
    </w:p>
    <w:p w14:paraId="0DF45A2C" w14:textId="77777777" w:rsidR="00A042AC" w:rsidRPr="00E75790" w:rsidRDefault="00A042AC" w:rsidP="00A042AC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C3/Customer Contact Channels</w:t>
      </w:r>
    </w:p>
    <w:p w14:paraId="7234088C" w14:textId="77777777" w:rsidR="00A042AC" w:rsidRPr="00E75790" w:rsidRDefault="00A042AC" w:rsidP="00A042AC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11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th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Floor 3030 Rizal Drive West cor. 31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st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St., Bonifacio Global City 1634 </w:t>
      </w:r>
    </w:p>
    <w:p w14:paraId="5138D666" w14:textId="77777777" w:rsidR="00A042AC" w:rsidRPr="00E75790" w:rsidRDefault="00A042AC" w:rsidP="00A042AC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Taguig City Philippines</w:t>
      </w:r>
    </w:p>
    <w:p w14:paraId="0C85E47E" w14:textId="77777777" w:rsidR="00A07C33" w:rsidRPr="00E75790" w:rsidRDefault="00A07C33" w:rsidP="00A042AC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January 03, 2014 </w:t>
      </w:r>
      <w:r w:rsidR="00CB6CDF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–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CB6CDF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Jan 04, 2016</w:t>
      </w:r>
    </w:p>
    <w:p w14:paraId="079B7CA9" w14:textId="77777777" w:rsidR="00A042AC" w:rsidRPr="00E75790" w:rsidRDefault="00A042AC" w:rsidP="00A042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30A0C6C" w14:textId="77777777" w:rsidR="00A042AC" w:rsidRPr="00E75790" w:rsidRDefault="00C07999" w:rsidP="006A1012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A</w:t>
      </w:r>
      <w:r w:rsidR="00BD661A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ssisting customers with a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irline ticket </w:t>
      </w:r>
      <w:r w:rsidR="00A042AC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over the phone</w:t>
      </w:r>
    </w:p>
    <w:p w14:paraId="638B91CE" w14:textId="77777777" w:rsidR="00A042AC" w:rsidRPr="00E75790" w:rsidRDefault="00C07999" w:rsidP="006A1012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Assist passengers</w:t>
      </w:r>
      <w:r w:rsidR="00A042AC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with online reservations (adding ancillary services, online check in and </w:t>
      </w:r>
      <w:r w:rsidR="006A1012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   </w:t>
      </w:r>
      <w:r w:rsidR="00A042AC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printing of boarding pass) </w:t>
      </w:r>
    </w:p>
    <w:p w14:paraId="7C656E5D" w14:textId="77777777" w:rsidR="00941E97" w:rsidRPr="00E75790" w:rsidRDefault="00A042AC" w:rsidP="00941E97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Edu</w:t>
      </w:r>
      <w:r w:rsidR="00C07999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cate passengers about charges for ancillary</w:t>
      </w: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services like baggage and pre- assigned seats</w:t>
      </w:r>
    </w:p>
    <w:p w14:paraId="5A47E084" w14:textId="77777777" w:rsidR="00A042AC" w:rsidRPr="00E75790" w:rsidRDefault="00A042AC" w:rsidP="00941E97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Assist with cancelling or rebooking tickets and </w:t>
      </w:r>
      <w:r w:rsidR="00C07999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discuss fees or charges involved </w:t>
      </w:r>
      <w:r w:rsidR="00BD661A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 </w:t>
      </w:r>
      <w:r w:rsidR="006A1012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in modifying </w:t>
      </w:r>
      <w:r w:rsidR="0004504C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       </w:t>
      </w:r>
      <w:r w:rsidR="006A1012"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or cancelling tickets</w:t>
      </w:r>
    </w:p>
    <w:p w14:paraId="127D162D" w14:textId="77777777" w:rsidR="00C07999" w:rsidRPr="00E75790" w:rsidRDefault="00B616BA" w:rsidP="006A1012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E75790">
        <w:rPr>
          <w:rFonts w:asciiTheme="majorHAnsi" w:hAnsiTheme="majorHAnsi" w:cstheme="majorHAnsi"/>
          <w:sz w:val="22"/>
          <w:szCs w:val="22"/>
          <w:shd w:val="clear" w:color="auto" w:fill="FFFFFF"/>
        </w:rPr>
        <w:t>Educate frequent flyers on how mileage works (signing-up, earning, redemption)</w:t>
      </w:r>
    </w:p>
    <w:p w14:paraId="63C8773D" w14:textId="77777777" w:rsidR="00B616BA" w:rsidRPr="00E75790" w:rsidRDefault="00BD661A" w:rsidP="006A1012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Providing options available when flight is impacted with IROPs</w:t>
      </w:r>
    </w:p>
    <w:p w14:paraId="5E6B904F" w14:textId="1AC0CB81" w:rsidR="00E75790" w:rsidRPr="00E75790" w:rsidRDefault="00BD661A" w:rsidP="00846D46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Making passengers aware of terms and conditions of reservations as well as frequent flyer program and membership which </w:t>
      </w:r>
      <w:r w:rsidR="006A1012" w:rsidRPr="00E75790">
        <w:rPr>
          <w:rFonts w:asciiTheme="majorHAnsi" w:hAnsiTheme="majorHAnsi" w:cstheme="majorHAnsi"/>
          <w:sz w:val="22"/>
          <w:szCs w:val="22"/>
        </w:rPr>
        <w:t>help</w:t>
      </w:r>
      <w:r w:rsidRPr="00E75790">
        <w:rPr>
          <w:rFonts w:asciiTheme="majorHAnsi" w:hAnsiTheme="majorHAnsi" w:cstheme="majorHAnsi"/>
          <w:sz w:val="22"/>
          <w:szCs w:val="22"/>
        </w:rPr>
        <w:t xml:space="preserve"> customers take advantage of lower rates of tickets and extra service like bags.</w:t>
      </w:r>
    </w:p>
    <w:p w14:paraId="714BCC0F" w14:textId="03E03E22" w:rsidR="00E75790" w:rsidRPr="00E75790" w:rsidRDefault="00E75790" w:rsidP="00E7579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CDA9F5A" w14:textId="77777777" w:rsidR="00E75790" w:rsidRDefault="00E75790" w:rsidP="00E7579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865DD98" w14:textId="7EABB8B9" w:rsidR="00EF52DA" w:rsidRPr="00E75790" w:rsidRDefault="00EF52DA" w:rsidP="00E75790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lastRenderedPageBreak/>
        <w:t>Customer Service Advisor</w:t>
      </w:r>
      <w:r w:rsidR="00BD661A" w:rsidRPr="00E75790">
        <w:rPr>
          <w:rFonts w:asciiTheme="majorHAnsi" w:hAnsiTheme="majorHAnsi" w:cstheme="majorHAnsi"/>
          <w:b/>
          <w:sz w:val="22"/>
          <w:szCs w:val="22"/>
        </w:rPr>
        <w:t xml:space="preserve"> - TMUK</w:t>
      </w:r>
    </w:p>
    <w:p w14:paraId="76F2FA8A" w14:textId="77777777" w:rsidR="00EF52DA" w:rsidRPr="00E75790" w:rsidRDefault="00EF52D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WNS Global Services</w:t>
      </w:r>
    </w:p>
    <w:p w14:paraId="628276BE" w14:textId="77777777" w:rsidR="00EF52DA" w:rsidRPr="00E75790" w:rsidRDefault="00EF52DA" w:rsidP="00EF52DA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9</w:t>
      </w:r>
      <w:r w:rsidRPr="00E75790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E75790">
        <w:rPr>
          <w:rFonts w:asciiTheme="majorHAnsi" w:hAnsiTheme="majorHAnsi" w:cstheme="majorHAnsi"/>
          <w:sz w:val="22"/>
          <w:szCs w:val="22"/>
        </w:rPr>
        <w:t xml:space="preserve"> 1880 </w:t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Bldg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, Eastwood City</w:t>
      </w:r>
    </w:p>
    <w:p w14:paraId="4212458B" w14:textId="77777777" w:rsidR="00EF52DA" w:rsidRPr="00E75790" w:rsidRDefault="00EF52DA" w:rsidP="00EF52DA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E75790">
        <w:rPr>
          <w:rFonts w:asciiTheme="majorHAnsi" w:hAnsiTheme="majorHAnsi" w:cstheme="majorHAnsi"/>
          <w:sz w:val="22"/>
          <w:szCs w:val="22"/>
        </w:rPr>
        <w:t>Libis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, Quezon City</w:t>
      </w:r>
    </w:p>
    <w:p w14:paraId="5202BC43" w14:textId="77777777" w:rsidR="00EF52DA" w:rsidRPr="00E75790" w:rsidRDefault="000D36D3" w:rsidP="00EF52DA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May</w:t>
      </w:r>
      <w:r w:rsidR="00EF52DA" w:rsidRPr="00E75790">
        <w:rPr>
          <w:rFonts w:asciiTheme="majorHAnsi" w:hAnsiTheme="majorHAnsi" w:cstheme="majorHAnsi"/>
          <w:sz w:val="22"/>
          <w:szCs w:val="22"/>
        </w:rPr>
        <w:t xml:space="preserve"> 2012 </w:t>
      </w:r>
      <w:r w:rsidR="00307278" w:rsidRPr="00E75790">
        <w:rPr>
          <w:rFonts w:asciiTheme="majorHAnsi" w:hAnsiTheme="majorHAnsi" w:cstheme="majorHAnsi"/>
          <w:sz w:val="22"/>
          <w:szCs w:val="22"/>
        </w:rPr>
        <w:t xml:space="preserve">– </w:t>
      </w:r>
      <w:r w:rsidRPr="00E75790">
        <w:rPr>
          <w:rFonts w:asciiTheme="majorHAnsi" w:hAnsiTheme="majorHAnsi" w:cstheme="majorHAnsi"/>
          <w:sz w:val="22"/>
          <w:szCs w:val="22"/>
        </w:rPr>
        <w:t>January</w:t>
      </w:r>
      <w:r w:rsidR="00101CA2" w:rsidRPr="00E75790">
        <w:rPr>
          <w:rFonts w:asciiTheme="majorHAnsi" w:hAnsiTheme="majorHAnsi" w:cstheme="majorHAnsi"/>
          <w:sz w:val="22"/>
          <w:szCs w:val="22"/>
        </w:rPr>
        <w:t xml:space="preserve"> 2013</w:t>
      </w:r>
    </w:p>
    <w:p w14:paraId="4DFD3D37" w14:textId="77777777" w:rsidR="00EF52DA" w:rsidRPr="00E75790" w:rsidRDefault="00EF52DA" w:rsidP="00EF52D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7224FE2" w14:textId="77777777" w:rsidR="00EF52DA" w:rsidRPr="00E75790" w:rsidRDefault="00EF52DA" w:rsidP="00EF52DA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Duties and Responsibilities:</w:t>
      </w:r>
    </w:p>
    <w:p w14:paraId="4A5F4FF7" w14:textId="77777777" w:rsidR="00EF52DA" w:rsidRPr="00E75790" w:rsidRDefault="00BD661A" w:rsidP="00EF52DA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Advice</w:t>
      </w:r>
      <w:r w:rsidR="00EF52DA" w:rsidRPr="00E75790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EF52DA" w:rsidRPr="00E75790">
        <w:rPr>
          <w:rFonts w:asciiTheme="majorHAnsi" w:hAnsiTheme="majorHAnsi" w:cstheme="majorHAnsi"/>
          <w:sz w:val="22"/>
          <w:szCs w:val="22"/>
        </w:rPr>
        <w:t>customers’</w:t>
      </w:r>
      <w:proofErr w:type="gramEnd"/>
      <w:r w:rsidR="00EF52DA" w:rsidRPr="00E75790">
        <w:rPr>
          <w:rFonts w:asciiTheme="majorHAnsi" w:hAnsiTheme="majorHAnsi" w:cstheme="majorHAnsi"/>
          <w:sz w:val="22"/>
          <w:szCs w:val="22"/>
        </w:rPr>
        <w:t xml:space="preserve"> of the services covered in their plans and scope of allowances their tariffs offer.</w:t>
      </w:r>
    </w:p>
    <w:p w14:paraId="458B9FC8" w14:textId="77777777" w:rsidR="00EF52DA" w:rsidRPr="00E75790" w:rsidRDefault="00EF52DA" w:rsidP="00EF52DA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Updates customers’ demographic information if necessary / upon request.</w:t>
      </w:r>
    </w:p>
    <w:p w14:paraId="187D8876" w14:textId="77777777" w:rsidR="00EF52DA" w:rsidRPr="00E75790" w:rsidRDefault="00EF52DA" w:rsidP="00EF52DA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Assist customers in changing price pans</w:t>
      </w:r>
    </w:p>
    <w:p w14:paraId="22E8D150" w14:textId="77777777" w:rsidR="00EF52DA" w:rsidRPr="00E75790" w:rsidRDefault="00EF52DA" w:rsidP="00EF52DA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Process payments over the phone</w:t>
      </w:r>
    </w:p>
    <w:p w14:paraId="58B2B79D" w14:textId="77777777" w:rsidR="00754AC2" w:rsidRPr="00E75790" w:rsidRDefault="00EF52DA" w:rsidP="00754AC2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</w:t>
      </w:r>
      <w:r w:rsidR="009D162B" w:rsidRPr="00E75790">
        <w:rPr>
          <w:rFonts w:asciiTheme="majorHAnsi" w:hAnsiTheme="majorHAnsi" w:cstheme="majorHAnsi"/>
          <w:sz w:val="22"/>
          <w:szCs w:val="22"/>
        </w:rPr>
        <w:t>dvice customers accordingly</w:t>
      </w:r>
      <w:r w:rsidRPr="00E75790">
        <w:rPr>
          <w:rFonts w:asciiTheme="majorHAnsi" w:hAnsiTheme="majorHAnsi" w:cstheme="majorHAnsi"/>
          <w:sz w:val="22"/>
          <w:szCs w:val="22"/>
        </w:rPr>
        <w:t xml:space="preserve"> regarding billing issues/disputes</w:t>
      </w:r>
      <w:r w:rsidR="00754AC2" w:rsidRPr="00E75790">
        <w:rPr>
          <w:rFonts w:asciiTheme="majorHAnsi" w:hAnsiTheme="majorHAnsi" w:cstheme="majorHAnsi"/>
          <w:sz w:val="22"/>
          <w:szCs w:val="22"/>
        </w:rPr>
        <w:t xml:space="preserve"> and bill charges.</w:t>
      </w:r>
    </w:p>
    <w:p w14:paraId="5B3ADBCC" w14:textId="77777777" w:rsidR="00754AC2" w:rsidRPr="00E75790" w:rsidRDefault="003A05E2" w:rsidP="00754AC2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Process subsidy PIN or unlocking code requests.</w:t>
      </w:r>
    </w:p>
    <w:p w14:paraId="7C0F122C" w14:textId="77777777" w:rsidR="006905CA" w:rsidRPr="00E75790" w:rsidRDefault="006905CA" w:rsidP="004E6016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Advic</w:t>
      </w:r>
      <w:r w:rsidR="00AC338D" w:rsidRPr="00E75790">
        <w:rPr>
          <w:rFonts w:asciiTheme="majorHAnsi" w:hAnsiTheme="majorHAnsi" w:cstheme="majorHAnsi"/>
          <w:sz w:val="22"/>
          <w:szCs w:val="22"/>
        </w:rPr>
        <w:t>e handset/equipment delivery status.</w:t>
      </w:r>
    </w:p>
    <w:p w14:paraId="693925DB" w14:textId="77777777" w:rsidR="001A0C64" w:rsidRPr="00E75790" w:rsidRDefault="001A0C64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F381935" w14:textId="77777777" w:rsidR="00BD3DC8" w:rsidRPr="00E75790" w:rsidRDefault="00BD3DC8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62BC07A" w14:textId="77777777" w:rsidR="008F7E4A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t>Customer Service Associate</w:t>
      </w:r>
    </w:p>
    <w:p w14:paraId="2783C0F8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Health Care Account</w:t>
      </w:r>
    </w:p>
    <w:p w14:paraId="048EA9DD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Results Manila Inc.</w:t>
      </w:r>
    </w:p>
    <w:p w14:paraId="70172680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2</w:t>
      </w:r>
      <w:r w:rsidRPr="00E75790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E75790">
        <w:rPr>
          <w:rFonts w:asciiTheme="majorHAnsi" w:hAnsiTheme="majorHAnsi" w:cstheme="majorHAnsi"/>
          <w:sz w:val="22"/>
          <w:szCs w:val="22"/>
        </w:rPr>
        <w:t xml:space="preserve">F 1880 </w:t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Bldg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, Eastwood City</w:t>
      </w:r>
    </w:p>
    <w:p w14:paraId="432CE493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E75790">
        <w:rPr>
          <w:rFonts w:asciiTheme="majorHAnsi" w:hAnsiTheme="majorHAnsi" w:cstheme="majorHAnsi"/>
          <w:sz w:val="22"/>
          <w:szCs w:val="22"/>
        </w:rPr>
        <w:t>Libis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, Quezon City</w:t>
      </w:r>
    </w:p>
    <w:p w14:paraId="2C49C0C8" w14:textId="77777777" w:rsidR="008F7E4A" w:rsidRPr="00E75790" w:rsidRDefault="00BF3EBC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Oct. 2010 – February 23</w:t>
      </w:r>
      <w:r w:rsidR="00754AC2" w:rsidRPr="00E75790">
        <w:rPr>
          <w:rFonts w:asciiTheme="majorHAnsi" w:hAnsiTheme="majorHAnsi" w:cstheme="majorHAnsi"/>
          <w:sz w:val="22"/>
          <w:szCs w:val="22"/>
        </w:rPr>
        <w:t>, 2012</w:t>
      </w:r>
    </w:p>
    <w:p w14:paraId="24758948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C2053B7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Duties and Responsibilities:</w:t>
      </w:r>
    </w:p>
    <w:p w14:paraId="0F38750A" w14:textId="77777777" w:rsidR="008F7E4A" w:rsidRPr="00E75790" w:rsidRDefault="008F7E4A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Educate members of the medical services covered by their policy</w:t>
      </w:r>
      <w:r w:rsidR="004E6016" w:rsidRPr="00E75790">
        <w:rPr>
          <w:rFonts w:asciiTheme="majorHAnsi" w:hAnsiTheme="majorHAnsi" w:cstheme="majorHAnsi"/>
          <w:sz w:val="22"/>
          <w:szCs w:val="22"/>
        </w:rPr>
        <w:t>.</w:t>
      </w:r>
    </w:p>
    <w:p w14:paraId="03EEC725" w14:textId="77777777" w:rsidR="008F7E4A" w:rsidRPr="00E75790" w:rsidRDefault="008F7E4A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Assist members in identifying providers within the plan’s network</w:t>
      </w:r>
      <w:r w:rsidR="004E6016" w:rsidRPr="00E75790">
        <w:rPr>
          <w:rFonts w:asciiTheme="majorHAnsi" w:hAnsiTheme="majorHAnsi" w:cstheme="majorHAnsi"/>
          <w:sz w:val="22"/>
          <w:szCs w:val="22"/>
        </w:rPr>
        <w:t>.</w:t>
      </w:r>
    </w:p>
    <w:p w14:paraId="7A5A86FE" w14:textId="77777777" w:rsidR="008F7E4A" w:rsidRPr="00E75790" w:rsidRDefault="00DF6C7A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U</w:t>
      </w:r>
      <w:r w:rsidR="008F7E4A" w:rsidRPr="00E75790">
        <w:rPr>
          <w:rFonts w:asciiTheme="majorHAnsi" w:hAnsiTheme="majorHAnsi" w:cstheme="majorHAnsi"/>
          <w:sz w:val="22"/>
          <w:szCs w:val="22"/>
        </w:rPr>
        <w:t>pdates members’ demographic information if necessary</w:t>
      </w:r>
      <w:r w:rsidRPr="00E75790">
        <w:rPr>
          <w:rFonts w:asciiTheme="majorHAnsi" w:hAnsiTheme="majorHAnsi" w:cstheme="majorHAnsi"/>
          <w:sz w:val="22"/>
          <w:szCs w:val="22"/>
        </w:rPr>
        <w:t xml:space="preserve"> / upon request</w:t>
      </w:r>
      <w:r w:rsidR="004E6016" w:rsidRPr="00E75790">
        <w:rPr>
          <w:rFonts w:asciiTheme="majorHAnsi" w:hAnsiTheme="majorHAnsi" w:cstheme="majorHAnsi"/>
          <w:sz w:val="22"/>
          <w:szCs w:val="22"/>
        </w:rPr>
        <w:t>.</w:t>
      </w:r>
    </w:p>
    <w:p w14:paraId="7DF9B315" w14:textId="77777777" w:rsidR="008F7E4A" w:rsidRPr="00E75790" w:rsidRDefault="008F7E4A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Assist callers’ in identi</w:t>
      </w:r>
      <w:r w:rsidR="004655D0" w:rsidRPr="00E75790">
        <w:rPr>
          <w:rFonts w:asciiTheme="majorHAnsi" w:hAnsiTheme="majorHAnsi" w:cstheme="majorHAnsi"/>
          <w:sz w:val="22"/>
          <w:szCs w:val="22"/>
        </w:rPr>
        <w:t>fying which drugs are covered in the</w:t>
      </w:r>
      <w:r w:rsidRPr="00E75790">
        <w:rPr>
          <w:rFonts w:asciiTheme="majorHAnsi" w:hAnsiTheme="majorHAnsi" w:cstheme="majorHAnsi"/>
          <w:sz w:val="22"/>
          <w:szCs w:val="22"/>
        </w:rPr>
        <w:t xml:space="preserve"> plan</w:t>
      </w:r>
      <w:r w:rsidR="004655D0" w:rsidRPr="00E75790">
        <w:rPr>
          <w:rFonts w:asciiTheme="majorHAnsi" w:hAnsiTheme="majorHAnsi" w:cstheme="majorHAnsi"/>
          <w:sz w:val="22"/>
          <w:szCs w:val="22"/>
        </w:rPr>
        <w:t>’s formulary</w:t>
      </w:r>
      <w:r w:rsidR="004E6016" w:rsidRPr="00E75790">
        <w:rPr>
          <w:rFonts w:asciiTheme="majorHAnsi" w:hAnsiTheme="majorHAnsi" w:cstheme="majorHAnsi"/>
          <w:sz w:val="22"/>
          <w:szCs w:val="22"/>
        </w:rPr>
        <w:t>.</w:t>
      </w:r>
    </w:p>
    <w:p w14:paraId="6F5833B9" w14:textId="77777777" w:rsidR="004655D0" w:rsidRPr="00E75790" w:rsidRDefault="004655D0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Assist provid</w:t>
      </w:r>
      <w:r w:rsidR="004E6016" w:rsidRPr="00E75790">
        <w:rPr>
          <w:rFonts w:asciiTheme="majorHAnsi" w:hAnsiTheme="majorHAnsi" w:cstheme="majorHAnsi"/>
          <w:sz w:val="22"/>
          <w:szCs w:val="22"/>
        </w:rPr>
        <w:t>ers in identifying claim status.</w:t>
      </w:r>
    </w:p>
    <w:p w14:paraId="25C52D3B" w14:textId="77777777" w:rsidR="004E6016" w:rsidRPr="00E75790" w:rsidRDefault="004E6016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Educate providers in filing dispute or appeal.</w:t>
      </w:r>
    </w:p>
    <w:p w14:paraId="1864EF00" w14:textId="77777777" w:rsidR="004E6016" w:rsidRPr="00E75790" w:rsidRDefault="00EF52DA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Escalate issues for claim</w:t>
      </w:r>
      <w:r w:rsidR="004E6016" w:rsidRPr="00E75790">
        <w:rPr>
          <w:rFonts w:asciiTheme="majorHAnsi" w:hAnsiTheme="majorHAnsi" w:cstheme="majorHAnsi"/>
          <w:sz w:val="22"/>
          <w:szCs w:val="22"/>
        </w:rPr>
        <w:t xml:space="preserve"> rejection if providers disagreed with rejection reason.</w:t>
      </w:r>
    </w:p>
    <w:p w14:paraId="7331A02C" w14:textId="77777777" w:rsidR="004E6016" w:rsidRPr="00E75790" w:rsidRDefault="004E6016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Advise </w:t>
      </w:r>
      <w:r w:rsidR="00157E1F" w:rsidRPr="00E75790">
        <w:rPr>
          <w:rFonts w:asciiTheme="majorHAnsi" w:hAnsiTheme="majorHAnsi" w:cstheme="majorHAnsi"/>
          <w:sz w:val="22"/>
          <w:szCs w:val="22"/>
        </w:rPr>
        <w:t>providers’</w:t>
      </w:r>
      <w:r w:rsidRPr="00E75790">
        <w:rPr>
          <w:rFonts w:asciiTheme="majorHAnsi" w:hAnsiTheme="majorHAnsi" w:cstheme="majorHAnsi"/>
          <w:sz w:val="22"/>
          <w:szCs w:val="22"/>
        </w:rPr>
        <w:t xml:space="preserve"> beneficiaries’ </w:t>
      </w:r>
      <w:r w:rsidR="00157E1F" w:rsidRPr="00E75790">
        <w:rPr>
          <w:rFonts w:asciiTheme="majorHAnsi" w:hAnsiTheme="majorHAnsi" w:cstheme="majorHAnsi"/>
          <w:sz w:val="22"/>
          <w:szCs w:val="22"/>
        </w:rPr>
        <w:t>eligibility status and benefits covered by members’ policy.</w:t>
      </w:r>
    </w:p>
    <w:p w14:paraId="51DABBA2" w14:textId="77777777" w:rsidR="00157E1F" w:rsidRPr="00E75790" w:rsidRDefault="00157E1F" w:rsidP="00157E1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Provides authorization status</w:t>
      </w:r>
      <w:r w:rsidR="00841DFC" w:rsidRPr="00E75790">
        <w:rPr>
          <w:rFonts w:asciiTheme="majorHAnsi" w:hAnsiTheme="majorHAnsi" w:cstheme="majorHAnsi"/>
          <w:sz w:val="22"/>
          <w:szCs w:val="22"/>
        </w:rPr>
        <w:t xml:space="preserve"> to both </w:t>
      </w:r>
      <w:r w:rsidR="00754AC2" w:rsidRPr="00E75790">
        <w:rPr>
          <w:rFonts w:asciiTheme="majorHAnsi" w:hAnsiTheme="majorHAnsi" w:cstheme="majorHAnsi"/>
          <w:sz w:val="22"/>
          <w:szCs w:val="22"/>
        </w:rPr>
        <w:t>members</w:t>
      </w:r>
      <w:r w:rsidR="00841DFC" w:rsidRPr="00E75790">
        <w:rPr>
          <w:rFonts w:asciiTheme="majorHAnsi" w:hAnsiTheme="majorHAnsi" w:cstheme="majorHAnsi"/>
          <w:sz w:val="22"/>
          <w:szCs w:val="22"/>
        </w:rPr>
        <w:t xml:space="preserve"> and providers</w:t>
      </w:r>
      <w:r w:rsidRPr="00E75790">
        <w:rPr>
          <w:rFonts w:asciiTheme="majorHAnsi" w:hAnsiTheme="majorHAnsi" w:cstheme="majorHAnsi"/>
          <w:sz w:val="22"/>
          <w:szCs w:val="22"/>
        </w:rPr>
        <w:t>.</w:t>
      </w:r>
    </w:p>
    <w:p w14:paraId="4F5D153C" w14:textId="77777777" w:rsidR="001A0C64" w:rsidRPr="00E75790" w:rsidRDefault="00157E1F" w:rsidP="004E6016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Inform providers of the timeframes for all types of </w:t>
      </w:r>
      <w:proofErr w:type="gramStart"/>
      <w:r w:rsidRPr="00E75790">
        <w:rPr>
          <w:rFonts w:asciiTheme="majorHAnsi" w:hAnsiTheme="majorHAnsi" w:cstheme="majorHAnsi"/>
          <w:sz w:val="22"/>
          <w:szCs w:val="22"/>
        </w:rPr>
        <w:t>request</w:t>
      </w:r>
      <w:proofErr w:type="gramEnd"/>
      <w:r w:rsidRPr="00E75790">
        <w:rPr>
          <w:rFonts w:asciiTheme="majorHAnsi" w:hAnsiTheme="majorHAnsi" w:cstheme="majorHAnsi"/>
          <w:sz w:val="22"/>
          <w:szCs w:val="22"/>
        </w:rPr>
        <w:t>.</w:t>
      </w:r>
    </w:p>
    <w:p w14:paraId="41048167" w14:textId="77777777" w:rsidR="001A0C64" w:rsidRPr="00E75790" w:rsidRDefault="001A0C64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DBC9682" w14:textId="77777777" w:rsidR="00CA3709" w:rsidRPr="00E75790" w:rsidRDefault="00CA3709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6E6CEF2" w14:textId="77777777" w:rsidR="008F7E4A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t>Export Marketing Officer</w:t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</w:p>
    <w:p w14:paraId="4F9DEBF6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VY Domingo </w:t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Jewellers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 xml:space="preserve"> Inc</w:t>
      </w:r>
    </w:p>
    <w:p w14:paraId="7872123B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#35 Emerald St, Millionaires Village</w:t>
      </w:r>
    </w:p>
    <w:p w14:paraId="4B3267C8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Quezon City, MM</w:t>
      </w:r>
    </w:p>
    <w:p w14:paraId="67C4315B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June 2009 – December 2009</w:t>
      </w:r>
    </w:p>
    <w:p w14:paraId="6CA657C2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81964D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Duties and Responsibilities:</w:t>
      </w:r>
    </w:p>
    <w:p w14:paraId="3A6FE64F" w14:textId="77777777" w:rsidR="008F7E4A" w:rsidRPr="00E75790" w:rsidRDefault="008F7E4A" w:rsidP="00157E1F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Prepare Job Order</w:t>
      </w:r>
    </w:p>
    <w:p w14:paraId="71E33279" w14:textId="77777777" w:rsidR="008F7E4A" w:rsidRPr="00E75790" w:rsidRDefault="008F7E4A" w:rsidP="00157E1F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Prepare Weekly Tracking Sheet</w:t>
      </w:r>
    </w:p>
    <w:p w14:paraId="34143AA1" w14:textId="77777777" w:rsidR="008F7E4A" w:rsidRPr="00E75790" w:rsidRDefault="008F7E4A" w:rsidP="00157E1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Prepare Shipping invoice for order </w:t>
      </w:r>
      <w:r w:rsidR="004E6016" w:rsidRPr="00E75790">
        <w:rPr>
          <w:rFonts w:asciiTheme="majorHAnsi" w:hAnsiTheme="majorHAnsi" w:cstheme="majorHAnsi"/>
          <w:sz w:val="22"/>
          <w:szCs w:val="22"/>
        </w:rPr>
        <w:t>shipment</w:t>
      </w:r>
    </w:p>
    <w:p w14:paraId="0719F0E8" w14:textId="77777777" w:rsidR="008F7E4A" w:rsidRPr="00E75790" w:rsidRDefault="008F7E4A" w:rsidP="00157E1F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Answer clients’ concerns and inquiries through email</w:t>
      </w:r>
    </w:p>
    <w:p w14:paraId="093BB386" w14:textId="77777777" w:rsidR="008F7E4A" w:rsidRPr="00E75790" w:rsidRDefault="00842E9F" w:rsidP="00157E1F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Create jewelry descriptions for online selling</w:t>
      </w:r>
    </w:p>
    <w:p w14:paraId="5262DAD8" w14:textId="77777777" w:rsidR="00842E9F" w:rsidRPr="00E75790" w:rsidRDefault="00842E9F" w:rsidP="00157E1F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Customer service thru email</w:t>
      </w:r>
    </w:p>
    <w:p w14:paraId="11F6E021" w14:textId="77777777" w:rsidR="00BA14CE" w:rsidRPr="00E75790" w:rsidRDefault="00BA14CE" w:rsidP="004E6016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F79B37B" w14:textId="77777777" w:rsidR="001D5815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lastRenderedPageBreak/>
        <w:t>EDUCATION</w:t>
      </w:r>
    </w:p>
    <w:p w14:paraId="3AE7390B" w14:textId="77777777" w:rsidR="008F7E4A" w:rsidRPr="00E75790" w:rsidRDefault="00252BA6" w:rsidP="004E6016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7579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40084" wp14:editId="5FA47BCE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5924550" cy="0"/>
                <wp:effectExtent l="0" t="25400" r="19050" b="25400"/>
                <wp:wrapSquare wrapText="bothSides"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D689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4.25pt" to="46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" strokecolor="#333" strokeweight="4.5pt">
                <v:stroke linestyle="thickThin"/>
                <o:lock v:ext="edit" shapetype="f"/>
                <w10:wrap type="square"/>
              </v:line>
            </w:pict>
          </mc:Fallback>
        </mc:AlternateContent>
      </w:r>
    </w:p>
    <w:p w14:paraId="53844026" w14:textId="77777777" w:rsidR="00650CC0" w:rsidRPr="00E75790" w:rsidRDefault="00650CC0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39DD3E4" w14:textId="2952DA00" w:rsidR="008F7E4A" w:rsidRPr="00E75790" w:rsidRDefault="008F7E4A" w:rsidP="00225E24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College</w:t>
      </w:r>
      <w:r w:rsidRPr="00E75790">
        <w:rPr>
          <w:rFonts w:asciiTheme="majorHAnsi" w:hAnsiTheme="majorHAnsi" w:cstheme="majorHAnsi"/>
          <w:sz w:val="22"/>
          <w:szCs w:val="22"/>
        </w:rPr>
        <w:tab/>
      </w:r>
      <w:r w:rsidR="00846D46" w:rsidRPr="00E75790">
        <w:rPr>
          <w:rFonts w:asciiTheme="majorHAnsi" w:hAnsiTheme="majorHAnsi" w:cstheme="majorHAnsi"/>
          <w:sz w:val="22"/>
          <w:szCs w:val="22"/>
        </w:rPr>
        <w:tab/>
      </w:r>
      <w:r w:rsidRPr="00E75790">
        <w:rPr>
          <w:rFonts w:asciiTheme="majorHAnsi" w:hAnsiTheme="majorHAnsi" w:cstheme="majorHAnsi"/>
          <w:sz w:val="22"/>
          <w:szCs w:val="22"/>
        </w:rPr>
        <w:tab/>
      </w:r>
      <w:r w:rsidR="00846D46" w:rsidRPr="00E75790">
        <w:rPr>
          <w:rFonts w:asciiTheme="majorHAnsi" w:hAnsiTheme="majorHAnsi" w:cstheme="majorHAnsi"/>
          <w:sz w:val="22"/>
          <w:szCs w:val="22"/>
        </w:rPr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 xml:space="preserve">Carlos </w:t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Hilado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 xml:space="preserve"> Memorial State College</w:t>
      </w:r>
    </w:p>
    <w:p w14:paraId="28D67C64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ab/>
      </w:r>
      <w:r w:rsidRPr="00E75790">
        <w:rPr>
          <w:rFonts w:asciiTheme="majorHAnsi" w:hAnsiTheme="majorHAnsi" w:cstheme="majorHAnsi"/>
          <w:sz w:val="22"/>
          <w:szCs w:val="22"/>
        </w:rPr>
        <w:tab/>
        <w:t>Mabini Street, Talisay City, Negros Occidental</w:t>
      </w:r>
    </w:p>
    <w:p w14:paraId="476EC266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Year Attended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>School Year 2005-2009</w:t>
      </w:r>
    </w:p>
    <w:p w14:paraId="7F249420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Course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>Bachelor of Science in Information Management</w:t>
      </w:r>
    </w:p>
    <w:p w14:paraId="39537DFF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315688B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High School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 xml:space="preserve">Dr. Antonio A. </w:t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Lizares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 xml:space="preserve"> Memorial High School</w:t>
      </w:r>
    </w:p>
    <w:p w14:paraId="77586C37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ab/>
      </w:r>
      <w:r w:rsidRPr="00E75790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Brgy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. Dos Hermanas, Talisay City, Negros Occidental</w:t>
      </w:r>
    </w:p>
    <w:p w14:paraId="163C8460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Year Attended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>2001-2005</w:t>
      </w:r>
    </w:p>
    <w:p w14:paraId="2AAF1D3C" w14:textId="77777777" w:rsidR="008F7E4A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B014FC8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Elementary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>Dos Hermanas Elementary School</w:t>
      </w:r>
    </w:p>
    <w:p w14:paraId="1C5E5BFD" w14:textId="77777777" w:rsidR="008F7E4A" w:rsidRPr="00E75790" w:rsidRDefault="008F7E4A" w:rsidP="004E6016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ab/>
      </w:r>
      <w:r w:rsidRPr="00E75790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E75790">
        <w:rPr>
          <w:rFonts w:asciiTheme="majorHAnsi" w:hAnsiTheme="majorHAnsi" w:cstheme="majorHAnsi"/>
          <w:sz w:val="22"/>
          <w:szCs w:val="22"/>
        </w:rPr>
        <w:t>Brgy</w:t>
      </w:r>
      <w:proofErr w:type="spellEnd"/>
      <w:r w:rsidRPr="00E75790">
        <w:rPr>
          <w:rFonts w:asciiTheme="majorHAnsi" w:hAnsiTheme="majorHAnsi" w:cstheme="majorHAnsi"/>
          <w:sz w:val="22"/>
          <w:szCs w:val="22"/>
        </w:rPr>
        <w:t>. Dos Hermanas, Talisay City, Negros Occidental</w:t>
      </w:r>
    </w:p>
    <w:p w14:paraId="6AFBB274" w14:textId="77777777" w:rsidR="00A27C5E" w:rsidRPr="00E75790" w:rsidRDefault="008F7E4A" w:rsidP="00357758">
      <w:pPr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Year Attended</w:t>
      </w:r>
      <w:r w:rsidRPr="00E75790">
        <w:rPr>
          <w:rFonts w:asciiTheme="majorHAnsi" w:hAnsiTheme="majorHAnsi" w:cstheme="majorHAnsi"/>
          <w:sz w:val="22"/>
          <w:szCs w:val="22"/>
        </w:rPr>
        <w:tab/>
        <w:t>:</w:t>
      </w:r>
      <w:r w:rsidRPr="00E75790">
        <w:rPr>
          <w:rFonts w:asciiTheme="majorHAnsi" w:hAnsiTheme="majorHAnsi" w:cstheme="majorHAnsi"/>
          <w:sz w:val="22"/>
          <w:szCs w:val="22"/>
        </w:rPr>
        <w:tab/>
        <w:t>School Year 1996-2001</w:t>
      </w:r>
    </w:p>
    <w:p w14:paraId="54F9F929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4D87ED3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08631D4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326F4D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>References will be available upon request.</w:t>
      </w:r>
    </w:p>
    <w:p w14:paraId="74E4BC47" w14:textId="77777777" w:rsidR="008F7E4A" w:rsidRPr="00E75790" w:rsidRDefault="008F7E4A" w:rsidP="004E6016">
      <w:pPr>
        <w:tabs>
          <w:tab w:val="left" w:pos="214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tab/>
      </w:r>
    </w:p>
    <w:p w14:paraId="0617F1CC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A3D847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  I hereby certify that the above information </w:t>
      </w:r>
      <w:proofErr w:type="gramStart"/>
      <w:r w:rsidRPr="00E75790">
        <w:rPr>
          <w:rFonts w:asciiTheme="majorHAnsi" w:hAnsiTheme="majorHAnsi" w:cstheme="majorHAnsi"/>
          <w:sz w:val="22"/>
          <w:szCs w:val="22"/>
        </w:rPr>
        <w:t>are</w:t>
      </w:r>
      <w:proofErr w:type="gramEnd"/>
      <w:r w:rsidRPr="00E75790">
        <w:rPr>
          <w:rFonts w:asciiTheme="majorHAnsi" w:hAnsiTheme="majorHAnsi" w:cstheme="majorHAnsi"/>
          <w:sz w:val="22"/>
          <w:szCs w:val="22"/>
        </w:rPr>
        <w:t xml:space="preserve"> true and correct to the best of my knowledge and belief.</w:t>
      </w:r>
    </w:p>
    <w:p w14:paraId="2BAD0C56" w14:textId="77777777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BF1257" w14:textId="77777777" w:rsidR="008F7E4A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52F57F1" w14:textId="77777777" w:rsidR="008F7E4A" w:rsidRPr="00E75790" w:rsidRDefault="008F7E4A" w:rsidP="004E6016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</w:rPr>
        <w:tab/>
      </w:r>
      <w:r w:rsidRPr="00E75790">
        <w:rPr>
          <w:rFonts w:asciiTheme="majorHAnsi" w:hAnsiTheme="majorHAnsi" w:cstheme="majorHAnsi"/>
          <w:b/>
          <w:sz w:val="22"/>
          <w:szCs w:val="22"/>
          <w:u w:val="single"/>
        </w:rPr>
        <w:t>MYLENE T. ENRIQUEZ</w:t>
      </w:r>
    </w:p>
    <w:p w14:paraId="444D8534" w14:textId="17AB7D6C" w:rsidR="008F7E4A" w:rsidRPr="00E75790" w:rsidRDefault="008F7E4A" w:rsidP="004E6016">
      <w:pPr>
        <w:jc w:val="both"/>
        <w:rPr>
          <w:rFonts w:asciiTheme="majorHAnsi" w:hAnsiTheme="majorHAnsi" w:cstheme="majorHAnsi"/>
          <w:sz w:val="22"/>
          <w:szCs w:val="22"/>
        </w:rPr>
      </w:pPr>
      <w:r w:rsidRPr="00E75790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</w:t>
      </w:r>
      <w:r w:rsidRPr="00E75790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="00D74CD5" w:rsidRPr="00E75790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="00E75790">
        <w:rPr>
          <w:rFonts w:asciiTheme="majorHAnsi" w:hAnsiTheme="majorHAnsi" w:cstheme="majorHAnsi"/>
          <w:sz w:val="22"/>
          <w:szCs w:val="22"/>
        </w:rPr>
        <w:tab/>
      </w:r>
      <w:r w:rsidRPr="00E75790">
        <w:rPr>
          <w:rFonts w:asciiTheme="majorHAnsi" w:hAnsiTheme="majorHAnsi" w:cstheme="majorHAnsi"/>
          <w:sz w:val="22"/>
          <w:szCs w:val="22"/>
        </w:rPr>
        <w:t>Applicant Signature</w:t>
      </w:r>
    </w:p>
    <w:sectPr w:rsidR="008F7E4A" w:rsidRPr="00E75790" w:rsidSect="00E75790">
      <w:pgSz w:w="12240" w:h="15840" w:code="1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9280" w14:textId="77777777" w:rsidR="00F02871" w:rsidRDefault="00F02871">
      <w:r>
        <w:separator/>
      </w:r>
    </w:p>
  </w:endnote>
  <w:endnote w:type="continuationSeparator" w:id="0">
    <w:p w14:paraId="2CD25E18" w14:textId="77777777" w:rsidR="00F02871" w:rsidRDefault="00F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DFBD" w14:textId="77777777" w:rsidR="00F02871" w:rsidRDefault="00F02871">
      <w:r>
        <w:separator/>
      </w:r>
    </w:p>
  </w:footnote>
  <w:footnote w:type="continuationSeparator" w:id="0">
    <w:p w14:paraId="7BD14D38" w14:textId="77777777" w:rsidR="00F02871" w:rsidRDefault="00F0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589"/>
    <w:multiLevelType w:val="hybridMultilevel"/>
    <w:tmpl w:val="FA0EA99A"/>
    <w:lvl w:ilvl="0" w:tplc="F1B2CE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A535C"/>
    <w:multiLevelType w:val="hybridMultilevel"/>
    <w:tmpl w:val="77F0C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216CE"/>
    <w:multiLevelType w:val="hybridMultilevel"/>
    <w:tmpl w:val="189C8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3033E"/>
    <w:multiLevelType w:val="hybridMultilevel"/>
    <w:tmpl w:val="10F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5199"/>
    <w:multiLevelType w:val="hybridMultilevel"/>
    <w:tmpl w:val="2892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7278"/>
    <w:multiLevelType w:val="hybridMultilevel"/>
    <w:tmpl w:val="67FEEBC0"/>
    <w:lvl w:ilvl="0" w:tplc="6A781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D684A"/>
    <w:multiLevelType w:val="hybridMultilevel"/>
    <w:tmpl w:val="680063F8"/>
    <w:lvl w:ilvl="0" w:tplc="545EF60A">
      <w:start w:val="1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A11DA1"/>
    <w:multiLevelType w:val="hybridMultilevel"/>
    <w:tmpl w:val="D6D89DEC"/>
    <w:lvl w:ilvl="0" w:tplc="6A781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E6535"/>
    <w:multiLevelType w:val="hybridMultilevel"/>
    <w:tmpl w:val="CA54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1569F"/>
    <w:multiLevelType w:val="hybridMultilevel"/>
    <w:tmpl w:val="E2267678"/>
    <w:lvl w:ilvl="0" w:tplc="34D681A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8E3DA7"/>
    <w:multiLevelType w:val="hybridMultilevel"/>
    <w:tmpl w:val="DC649784"/>
    <w:lvl w:ilvl="0" w:tplc="6A781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51680"/>
    <w:multiLevelType w:val="hybridMultilevel"/>
    <w:tmpl w:val="D9EC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A58"/>
    <w:multiLevelType w:val="hybridMultilevel"/>
    <w:tmpl w:val="F6F0ED5E"/>
    <w:lvl w:ilvl="0" w:tplc="6A7819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354BC7"/>
    <w:multiLevelType w:val="hybridMultilevel"/>
    <w:tmpl w:val="BA887890"/>
    <w:lvl w:ilvl="0" w:tplc="65C82A3C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00"/>
    <w:rsid w:val="00006866"/>
    <w:rsid w:val="00022631"/>
    <w:rsid w:val="0004504C"/>
    <w:rsid w:val="00046732"/>
    <w:rsid w:val="000C1639"/>
    <w:rsid w:val="000D36D3"/>
    <w:rsid w:val="000E5C77"/>
    <w:rsid w:val="00101CA2"/>
    <w:rsid w:val="0010620A"/>
    <w:rsid w:val="00114316"/>
    <w:rsid w:val="00134A1A"/>
    <w:rsid w:val="00157E1F"/>
    <w:rsid w:val="0017670D"/>
    <w:rsid w:val="001800B1"/>
    <w:rsid w:val="001959CF"/>
    <w:rsid w:val="001A0C64"/>
    <w:rsid w:val="001A4B96"/>
    <w:rsid w:val="001C5F0F"/>
    <w:rsid w:val="001D1624"/>
    <w:rsid w:val="001D5815"/>
    <w:rsid w:val="00206B06"/>
    <w:rsid w:val="00225E24"/>
    <w:rsid w:val="00252BA6"/>
    <w:rsid w:val="00284AA4"/>
    <w:rsid w:val="00293D44"/>
    <w:rsid w:val="0029596F"/>
    <w:rsid w:val="002C5C61"/>
    <w:rsid w:val="00307278"/>
    <w:rsid w:val="00312645"/>
    <w:rsid w:val="00323EB4"/>
    <w:rsid w:val="00357758"/>
    <w:rsid w:val="003A031A"/>
    <w:rsid w:val="003A05E2"/>
    <w:rsid w:val="003A49C9"/>
    <w:rsid w:val="003A642B"/>
    <w:rsid w:val="003B1D81"/>
    <w:rsid w:val="004007BF"/>
    <w:rsid w:val="00455D25"/>
    <w:rsid w:val="004655D0"/>
    <w:rsid w:val="00482D61"/>
    <w:rsid w:val="004A0DF3"/>
    <w:rsid w:val="004E6016"/>
    <w:rsid w:val="004F62AF"/>
    <w:rsid w:val="004F778F"/>
    <w:rsid w:val="0050521A"/>
    <w:rsid w:val="00522848"/>
    <w:rsid w:val="0052365E"/>
    <w:rsid w:val="00533009"/>
    <w:rsid w:val="005754E0"/>
    <w:rsid w:val="005A3F2B"/>
    <w:rsid w:val="00603C06"/>
    <w:rsid w:val="00647EC9"/>
    <w:rsid w:val="00650B0F"/>
    <w:rsid w:val="00650CC0"/>
    <w:rsid w:val="006905CA"/>
    <w:rsid w:val="006A1012"/>
    <w:rsid w:val="006E2670"/>
    <w:rsid w:val="006E3613"/>
    <w:rsid w:val="006F2EC4"/>
    <w:rsid w:val="0072759E"/>
    <w:rsid w:val="00754AC2"/>
    <w:rsid w:val="007706A6"/>
    <w:rsid w:val="007B179A"/>
    <w:rsid w:val="00806E71"/>
    <w:rsid w:val="00826392"/>
    <w:rsid w:val="00841DFC"/>
    <w:rsid w:val="00842E9F"/>
    <w:rsid w:val="00846D46"/>
    <w:rsid w:val="008C5BE2"/>
    <w:rsid w:val="008D2D38"/>
    <w:rsid w:val="008F7E4A"/>
    <w:rsid w:val="00941E97"/>
    <w:rsid w:val="00942785"/>
    <w:rsid w:val="00964B89"/>
    <w:rsid w:val="00992735"/>
    <w:rsid w:val="009A3C46"/>
    <w:rsid w:val="009C5BF2"/>
    <w:rsid w:val="009D162B"/>
    <w:rsid w:val="009E5C9E"/>
    <w:rsid w:val="009F5F3F"/>
    <w:rsid w:val="00A042AC"/>
    <w:rsid w:val="00A07C33"/>
    <w:rsid w:val="00A27C5E"/>
    <w:rsid w:val="00A6530E"/>
    <w:rsid w:val="00A92193"/>
    <w:rsid w:val="00A9364A"/>
    <w:rsid w:val="00AC338D"/>
    <w:rsid w:val="00AD7B37"/>
    <w:rsid w:val="00B26303"/>
    <w:rsid w:val="00B616BA"/>
    <w:rsid w:val="00BA14CE"/>
    <w:rsid w:val="00BB1E58"/>
    <w:rsid w:val="00BD3DC8"/>
    <w:rsid w:val="00BD661A"/>
    <w:rsid w:val="00BE4C6F"/>
    <w:rsid w:val="00BF3EBC"/>
    <w:rsid w:val="00C07999"/>
    <w:rsid w:val="00C156C5"/>
    <w:rsid w:val="00C6328E"/>
    <w:rsid w:val="00C944BA"/>
    <w:rsid w:val="00CA3709"/>
    <w:rsid w:val="00CB6CDF"/>
    <w:rsid w:val="00CC0F04"/>
    <w:rsid w:val="00CE209D"/>
    <w:rsid w:val="00CE2400"/>
    <w:rsid w:val="00CE4ED2"/>
    <w:rsid w:val="00D046B3"/>
    <w:rsid w:val="00D6268D"/>
    <w:rsid w:val="00D74CD5"/>
    <w:rsid w:val="00DA2763"/>
    <w:rsid w:val="00DE0600"/>
    <w:rsid w:val="00DF6C7A"/>
    <w:rsid w:val="00E219ED"/>
    <w:rsid w:val="00E261A8"/>
    <w:rsid w:val="00E35B3F"/>
    <w:rsid w:val="00E75790"/>
    <w:rsid w:val="00EA2383"/>
    <w:rsid w:val="00EA4CC4"/>
    <w:rsid w:val="00EB45D6"/>
    <w:rsid w:val="00EF10F5"/>
    <w:rsid w:val="00EF52DA"/>
    <w:rsid w:val="00F02871"/>
    <w:rsid w:val="00F57A9B"/>
    <w:rsid w:val="00F74D9F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333">
      <v:stroke color="#333" weight="4.5pt" linestyle="thickThin"/>
    </o:shapedefaults>
    <o:shapelayout v:ext="edit">
      <o:idmap v:ext="edit" data="1"/>
    </o:shapelayout>
  </w:shapeDefaults>
  <w:decimalSymbol w:val="."/>
  <w:listSeparator w:val=","/>
  <w14:docId w14:val="50F46685"/>
  <w15:chartTrackingRefBased/>
  <w15:docId w15:val="{698F987C-DE37-7340-909F-DE966CD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71CA-2187-7D40-9BC0-5739B5D8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REY GARCIA SALES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REY GARCIA SALES</dc:title>
  <dc:subject/>
  <dc:creator>lydie jean</dc:creator>
  <cp:keywords/>
  <cp:lastModifiedBy>Mylene Enriquez</cp:lastModifiedBy>
  <cp:revision>10</cp:revision>
  <cp:lastPrinted>2011-09-26T01:51:00Z</cp:lastPrinted>
  <dcterms:created xsi:type="dcterms:W3CDTF">2020-07-20T11:27:00Z</dcterms:created>
  <dcterms:modified xsi:type="dcterms:W3CDTF">2021-10-06T04:41:00Z</dcterms:modified>
</cp:coreProperties>
</file>